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MÁRKUS</w:t>
            </w:r>
          </w:p>
          <w:p w:rsidR="00C275A3" w:rsidRDefault="00A96AEC" w:rsidP="00C275A3">
            <w:pPr>
              <w:pStyle w:val="Hallgatokepzes"/>
            </w:pPr>
            <w:r>
              <w:t>International economics</w:t>
            </w:r>
            <w:r>
              <w:br/>
            </w:r>
            <w:r w:rsidR="00E77B23">
              <w:t>MA, 4. semester</w:t>
            </w:r>
          </w:p>
          <w:p w:rsidR="00C265CE" w:rsidRPr="009E5FF1" w:rsidRDefault="00E77B23" w:rsidP="00BA6BAF">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Szabolcs Pásztor</w:t>
            </w:r>
          </w:p>
          <w:p w:rsidR="00DB4822" w:rsidRDefault="00DB4822" w:rsidP="00BA6BAF">
            <w:pPr>
              <w:pStyle w:val="Konzulensektitulus"/>
            </w:pPr>
            <w:r w:rsidRPr="00DB4822">
              <w:t>Editor-in-charge,  The Central Bank of Hungary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border effect in regional economic integrations and Central and Eastern Europe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Border effect; gravity model; integration; Central and Eastern Europe</w:t>
      </w:r>
      <w:r>
        <w:t xml:space="preserve"/>
      </w:r>
    </w:p>
    <w:p>
      <w:pPr>
        <w:widowControl w:val="on"/>
        <w:pBdr/>
        <w:spacing w:before="240" w:after="240" w:line="240" w:lineRule="auto"/>
        <w:ind w:left="0" w:right="0"/>
        <w:jc w:val="left"/>
      </w:pPr>
      <w:r>
        <w:rPr>
          <w:color w:val="000000"/>
          <w:sz w:val="24"/>
          <w:szCs w:val="24"/>
        </w:rPr>
        <w:t xml:space="preserve">Many people claim that the deepening globalization of recent decades is leading towards a world where distances die and borders disappear. A number of academic papers, however, have proved that borders still have a determining role in hindering cross country trade interactions even in regional economic integrations. This paper demonstrates in two different ways that countries do trade much more within their borders than they should do in the 21st century’s globalized world. On the one hand, the author gives a comprehensive literature review about border effect studies which have worked with extended gravity trade models and pointed out the excessive preference of domestic trading partners. On the other hand, an own empirical research in connection with Central and Eastern Europe is also conducted. The simple OLS regression which is separately run for each year through 2001–2010 suggests that the CEE countries were integrating continuously into the European Union during the mentioned period. The border effect coefficient which was extremely high in the beginning decreased year by year. The results also show that in the end of the first decade of the new millennium the Baltic countries and Poland still have to face quite large border effects, while Hungary, the Czech Republic and Slovakia seem to be more integrated with the rest of the European Union.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18368">
    <w:multiLevelType w:val="hybridMultilevel"/>
    <w:lvl w:ilvl="0" w:tplc="60531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18368">
    <w:abstractNumId w:val="95318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5007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