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ANTAL</w:t>
            </w:r>
          </w:p>
          <w:p w:rsidR="00C275A3" w:rsidRDefault="00A96AEC" w:rsidP="00C275A3">
            <w:pPr>
              <w:pStyle w:val="Hallgatokepzes"/>
            </w:pPr>
            <w:r>
              <w:t>Actuarial and financial mathematics</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IMRE MOLNÁR</w:t>
            </w:r>
          </w:p>
          <w:p w:rsidR="00DB4822" w:rsidRDefault="00C275A3" w:rsidP="004D7940">
            <w:pPr>
              <w:pStyle w:val="Hallgatokepzes"/>
            </w:pPr>
            <w:r>
              <w:t>Actuarial and financial mathematics</w:t>
            </w:r>
            <w:r w:rsidR="00A96AEC">
              <w:br/>
              <w:t>MSc,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Márkus</w:t>
            </w:r>
          </w:p>
          <w:p w:rsidR="00DB4822" w:rsidRDefault="00DB4822" w:rsidP="00E11062">
            <w:pPr>
              <w:pStyle w:val="Konzulensek"/>
            </w:pPr>
            <w:r w:rsidRPr="00DB4822">
              <w:t>PhD student,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valuation of a Hungarian firm using the WDCF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WDCF; Egis; business valuation; discounted cash-flow model; investment</w:t>
      </w:r>
      <w:r>
        <w:t xml:space="preserve"/>
      </w:r>
    </w:p>
    <w:p>
      <w:pPr>
        <w:widowControl w:val="on"/>
        <w:pBdr/>
        <w:spacing w:before="240" w:after="240" w:line="240" w:lineRule="auto"/>
        <w:ind w:left="0" w:right="0"/>
        <w:jc w:val="left"/>
      </w:pPr>
      <w:r>
        <w:rPr>
          <w:color w:val="000000"/>
          <w:sz w:val="24"/>
          <w:szCs w:val="24"/>
        </w:rPr>
        <w:t xml:space="preserve">One could easily argue that today's most well-spread business valuation tools are the discounted cash-flow based models. These are usually built in two steps: first, estimating the expected cash-flows, then discounting these with factors corresponding to the riskiness of the business entity. This way, the uncertainty is only evaluated through the factors, and the cash-flows are only represented through the expected value. The expected value does not distinguish between two distributions with fundamentally different variance, the model can only offset with higher return in exchange for the risk, resulting in a decrease of the expected value. In this paper we try to create a new model, treating the cash-flow elements as random variables instead of point estimates, and simulating the distribution of the firm's value. We aim to expose additional information about the distribution to help investors positioning the investment oppurtunity in their preference ordering.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12960">
    <w:multiLevelType w:val="hybridMultilevel"/>
    <w:lvl w:ilvl="0" w:tplc="94966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12960">
    <w:abstractNumId w:val="24812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174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