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JOHANNA PAPP</w:t>
            </w:r>
          </w:p>
          <w:p w:rsidR="00C275A3" w:rsidRDefault="00A96AEC" w:rsidP="00C275A3">
            <w:pPr>
              <w:pStyle w:val="Hallgatokepzes"/>
            </w:pPr>
            <w:r>
              <w:t>Finance and accounting</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Edina Berlinger</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Hungarian Credit Rating Events on the Capital Market – Event Study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event study; credit rating events; abnormal returns</w:t>
      </w:r>
      <w:r>
        <w:t xml:space="preserve"/>
      </w:r>
    </w:p>
    <w:p>
      <w:pPr>
        <w:widowControl w:val="on"/>
        <w:pBdr/>
        <w:spacing w:before="240" w:after="240" w:line="240" w:lineRule="auto"/>
        <w:ind w:left="0" w:right="0"/>
        <w:jc w:val="left"/>
      </w:pPr>
      <w:r>
        <w:rPr>
          <w:color w:val="000000"/>
          <w:sz w:val="24"/>
          <w:szCs w:val="24"/>
        </w:rPr>
        <w:t xml:space="preserve">In this dissertation I was looking for the answer to the question whether the credit rating events had an effect to the Hungarian capital market or they could influence the foreign capital markets indirectly. The credit ratings provide information about a company’s or a country’s financial and economic position, therefore I found it worth considering the rating events’ contingent effects to foreign capital markets. The adequate method was the event study, which is frequently used to analyze the impact of news and events on rates. I examined the period from 2000 to 2014, and I managed to identify five credit rating waves. I calculated abnormal returns from the rates for a thirty-day period before and a two-week period after the announcements. I could conclude the information content of the credit rating events based on the magnitude of the abnormal returns. The results were consistent with my expectations in three cases, however in the two other cases I got different outcomes. Subsequently I would like to identify the further events, that might affect the rates around the time of the announcements as a future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88397">
    <w:multiLevelType w:val="hybridMultilevel"/>
    <w:lvl w:ilvl="0" w:tplc="85698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88397">
    <w:abstractNumId w:val="620883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772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