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ÁKOS</w:t>
            </w:r>
          </w:p>
          <w:p w:rsidR="00C275A3" w:rsidRDefault="00A96AEC" w:rsidP="00C275A3">
            <w:pPr>
              <w:pStyle w:val="Hallgatokepzes"/>
            </w:pPr>
            <w:r>
              <w:t>Biztosítási és pénzügyi matematika</w:t>
            </w:r>
            <w:r>
              <w:br/>
            </w:r>
            <w:r w:rsidR="00E77B23">
              <w:t>MSc, 4. félév</w:t>
            </w:r>
          </w:p>
          <w:p w:rsidR="00C265CE" w:rsidRPr="009E5FF1" w:rsidRDefault="00E77B23" w:rsidP="00BA6BAF">
            <w:pPr>
              <w:pStyle w:val="Hallgatointezmeny-kar"/>
              <w:rPr>
                <w:b/>
                <w:caps/>
              </w:rPr>
            </w:pPr>
            <w:r>
              <w:t>Budapesti Corvinus 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Medvegyev Péter</w:t>
            </w:r>
          </w:p>
          <w:p w:rsidR="00DB4822" w:rsidRDefault="00DB4822" w:rsidP="00BA6BAF">
            <w:pPr>
              <w:pStyle w:val="Konzulensektitulus"/>
            </w:pPr>
            <w:r w:rsidRPr="00DB4822">
              <w:t>egyetemi docens,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Ázsiai opciók árazása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opcióárazás; ázsiai opciók; numerikus algoritmusok; Laplace-transzformált</w:t>
      </w:r>
      <w:r>
        <w:t xml:space="preserve"/>
      </w:r>
    </w:p>
    <w:p>
      <w:pPr>
        <w:widowControl w:val="on"/>
        <w:pBdr/>
        <w:spacing w:before="240" w:after="240" w:line="240" w:lineRule="auto"/>
        <w:ind w:left="0" w:right="0"/>
        <w:jc w:val="left"/>
      </w:pPr>
      <w:r>
        <w:rPr>
          <w:color w:val="000000"/>
          <w:sz w:val="24"/>
          <w:szCs w:val="24"/>
        </w:rPr>
        <w:t xml:space="preserve">     Amikor opcióárazásról beszélünk, rendszerint automatikusan az európai vanília call (vagy put) opciókra gondolunk. Ez nem csupán a komplexebb opciók tankönyvekben való alulreprezentáltságának tudható be, hanem annak is, hogy ezen termékek analitikus árazása meglehetősen nehéz probléma, amely hamar kezelhetetlenné válik, ha bonyolult lehívási, illetve kifizetési szerkezettel nézünk szembe. Éppen ezért csak maroknyi olyan (speciális) példát tudunk hozni, ahol a sztochasztikus és differenciál kalkulusban alkalmazott szokásos eszköztár elegendő a megoldáshoz, vagyis az opció árának kiszámításához. A legtöbb esetben tehát szimulációs módszereket vagyunk kénytelenek alkalmazni.</w:t>
      </w:r>
    </w:p>
    <w:p>
      <w:pPr>
        <w:widowControl w:val="on"/>
        <w:pBdr/>
        <w:spacing w:before="240" w:after="240" w:line="240" w:lineRule="auto"/>
        <w:ind w:left="0" w:right="0"/>
        <w:jc w:val="left"/>
      </w:pPr>
      <w:r>
        <w:rPr>
          <w:color w:val="000000"/>
          <w:sz w:val="24"/>
          <w:szCs w:val="24"/>
        </w:rPr>
        <w:br/>
        <w:t xml:space="preserve">     A fent említett, analitikusan kezelhető problémákra kitűnő példa az ázsiai opciók árazása ‒ pontosabban, az európai lehívású ázsiai call (vagy put) opciók árazása. Ez az opciófajta az alaptermék árfolyamának átlaga és a lehívási árfolyam pozitív különbözetét fizeti ki, ezért megbízhatóan és költséghatékonyan használható fedezésre. Ezt támasztja alá, hogy Bodnar et al. (1998) szerint az ázsiai opciók a leggyakrabban használt egzotikus derivatív ügyletek az OTC piacon. Pénzügyi relevanciájuknak és matematikai szépségüknek köszönhetően tehát az ázsiai opciók a pénzügyi matematikai számára különösen érdekesek. A kapcsolódó árazási probléma analitikus megoldása Geman és Yor (1993) nyomán a Laplace-transzformált segítségével vezethető le, amelyet modern numerikus algoritmusokkal (Cohen, 2007) szükséges invertálni.</w:t>
      </w:r>
    </w:p>
    <w:p>
      <w:pPr>
        <w:widowControl w:val="on"/>
        <w:pBdr/>
        <w:spacing w:before="240" w:after="240" w:line="240" w:lineRule="auto"/>
        <w:ind w:left="0" w:right="0"/>
        <w:jc w:val="left"/>
      </w:pPr>
      <w:r>
        <w:rPr>
          <w:color w:val="000000"/>
          <w:sz w:val="24"/>
          <w:szCs w:val="24"/>
        </w:rPr>
        <w:br/>
        <w:t xml:space="preserve">     A dolgozatban átfogó betekintést nyújtok az ázsiai opciók esetében használható félanalitikus és szimulációs árazási módszerekbe, majd ezeket a MATLAB programban alkalmazom, összehasonlítva a különböző megközelítések hatékonyságát és paraméterérzékenységét. A különböző módszerek figyelmes vizsgálata után megfogalmazok egy döntési szabályt, amely segít kiválasztani az „optimális algoritmust” adott paraméterek függvényében. Ennek segítségével egy ázsiai opció tetszőleges paraméterek mellett mindössze 10 másodperc alatt beárazható, négy tizedes jegy pontossággal.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27784">
    <w:multiLevelType w:val="hybridMultilevel"/>
    <w:lvl w:ilvl="0" w:tplc="503420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27784">
    <w:abstractNumId w:val="630277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6728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