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AKOS HORVATH</w:t>
            </w:r>
          </w:p>
          <w:p w:rsidR="00C275A3" w:rsidRDefault="00A96AEC" w:rsidP="00C275A3">
            <w:pPr>
              <w:pStyle w:val="Hallgatokepzes"/>
            </w:pPr>
            <w:r>
              <w:t>Actuarial and Financial Mathematics</w:t>
            </w:r>
            <w:r>
              <w:br/>
            </w:r>
            <w:r w:rsidR="00E77B23">
              <w:t>MSc, 4. semester</w:t>
            </w:r>
          </w:p>
          <w:p w:rsidR="00C265CE" w:rsidRPr="009E5FF1" w:rsidRDefault="00E77B23" w:rsidP="00BA6BAF">
            <w:pPr>
              <w:pStyle w:val="Hallgatointezmeny-kar"/>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Peter Medvegyev</w:t>
            </w:r>
          </w:p>
          <w:p w:rsidR="00DB4822" w:rsidRDefault="00DB4822" w:rsidP="00BA6BAF">
            <w:pPr>
              <w:pStyle w:val="Konzulensektitulus"/>
            </w:pPr>
            <w:r w:rsidRPr="00DB4822">
              <w:t>associate professor,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Pricing Asian Options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option pricing; Asian options; numerical algorithms; Laplace transform</w:t>
      </w:r>
      <w:r>
        <w:t xml:space="preserve"/>
      </w:r>
    </w:p>
    <w:p>
      <w:pPr>
        <w:widowControl w:val="on"/>
        <w:pBdr/>
        <w:spacing w:before="240" w:after="240" w:line="240" w:lineRule="auto"/>
        <w:ind w:left="0" w:right="0"/>
        <w:jc w:val="left"/>
      </w:pPr>
      <w:r>
        <w:rPr>
          <w:color w:val="000000"/>
          <w:sz w:val="24"/>
          <w:szCs w:val="24"/>
        </w:rPr>
        <w:t xml:space="preserve">     When we talk about option pricing, our mindset is usually limited to European-exercise vanilla call (or put) options. This is not merely a result of the underrepresentation of more complex option types in textbooks but also of the challenging (and often elusive) analytical solution to their particular pricing problems. These problems quickly ‘get out of hand’ when we face the complicated exercise and/or payout structures of some options, and there are only a few examples where our conventional toolkit of stochastic and differential calculus turns out to be sufficient. Hence, in most cases, we are left with various simulation approaches to price options.</w:t>
      </w:r>
    </w:p>
    <w:p>
      <w:pPr>
        <w:widowControl w:val="on"/>
        <w:pBdr/>
        <w:spacing w:before="240" w:after="240" w:line="240" w:lineRule="auto"/>
        <w:ind w:left="0" w:right="0"/>
        <w:jc w:val="left"/>
      </w:pPr>
      <w:r>
        <w:rPr>
          <w:color w:val="000000"/>
          <w:sz w:val="24"/>
          <w:szCs w:val="24"/>
        </w:rPr>
        <w:br/>
        <w:t xml:space="preserve">     A notable example for these mathematically tractable option types is the Asian option, more precisely: the European-exercise Asian call (or put) option. This option type pays out the positive difference of the average of underlying prices during the lifetime of the option minus the strike price, which makes it a reliable and cost-effective hedging instrument. In fact, according to Bodnar et al. (1998), Asian options are the most commonly used exotic derivatives in the OTC market. It is their financial relevance and mathematical beauty that make Asian options a perfect target for financial mathematical analysis. An analytical solution to the pricing problem of the Asian option could be obtained by means of a Laplace transform derived by Geman and Yor (1993), which then needs to be inverted using advanced Laplace transform inversion algorithms (Cohen, 2007).</w:t>
      </w:r>
    </w:p>
    <w:p>
      <w:pPr>
        <w:widowControl w:val="on"/>
        <w:pBdr/>
        <w:spacing w:before="240" w:after="240" w:line="240" w:lineRule="auto"/>
        <w:ind w:left="0" w:right="0"/>
        <w:jc w:val="left"/>
      </w:pPr>
      <w:r>
        <w:rPr>
          <w:color w:val="000000"/>
          <w:sz w:val="24"/>
          <w:szCs w:val="24"/>
        </w:rPr>
        <w:br/>
        <w:t xml:space="preserve">     In this work, I provide a comprehensive analysis of the various semi-analytical and simulation pricing methods applicable to the particular pricing problem of Asian options, and then implement both in MATLAB, comparing and contrasting the efficiency and parameter-sensitivity of the different approaches. After careful testing of the different methods and thorough analysis of the outputs, I compile a decision rule table which helps to pick the ‘optimal algorithm’ for a given combination of parameters. This way it is possible to price an Asian option with arbitrary parameters within only 10 seconds, with four-digit accuracy.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942880">
    <w:multiLevelType w:val="hybridMultilevel"/>
    <w:lvl w:ilvl="0" w:tplc="693554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942880">
    <w:abstractNumId w:val="639428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37429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