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ETELKA KOLLÁR</w:t>
            </w:r>
          </w:p>
          <w:p w:rsidR="00C275A3" w:rsidRDefault="00A96AEC" w:rsidP="00C275A3">
            <w:pPr>
              <w:pStyle w:val="Hallgatokepzes"/>
            </w:pPr>
            <w:r>
              <w:t>Finance and Accounting</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Márk András Molnár, PhD</w:t>
            </w:r>
          </w:p>
          <w:p w:rsidR="00DB4822" w:rsidRDefault="00DB4822" w:rsidP="00E11062">
            <w:pPr>
              <w:pStyle w:val="Konzulensek"/>
            </w:pPr>
            <w:r w:rsidRPr="00DB4822">
              <w:t>Chief Financial Officer,  KOM Central Smart Metering Ltd., Member of the MVM Group</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Are we really rational? - Examining the prospect theory among the Hungarian economic palyers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Behavioural finance, Prospect Theory</w:t>
      </w:r>
      <w:r>
        <w:t xml:space="preserve"/>
      </w:r>
    </w:p>
    <w:p>
      <w:pPr>
        <w:widowControl w:val="on"/>
        <w:pBdr/>
        <w:spacing w:before="240" w:after="240" w:line="240" w:lineRule="auto"/>
        <w:ind w:left="0" w:right="0"/>
        <w:jc w:val="left"/>
      </w:pPr>
      <w:r>
        <w:rPr>
          <w:color w:val="000000"/>
          <w:sz w:val="24"/>
          <w:szCs w:val="24"/>
        </w:rPr>
        <w:t xml:space="preserve">The first milestone in the history of the behavioural finance was published by Daniel Kahneman and Amos Tversky in 1979 under the name of prospect theory. In their paper Kahneman and Tversky are examining the expected utility theory and they conclude that this model does not always correctly describe the decisions of the economic players. Since in their behaviour one can examine such elements which – according to the classic expected utility theory- are irrational. Based on these elements they built a new model.</w:t>
      </w:r>
    </w:p>
    <w:p>
      <w:pPr>
        <w:widowControl w:val="on"/>
        <w:pBdr/>
        <w:spacing w:before="240" w:after="240" w:line="240" w:lineRule="auto"/>
        <w:ind w:left="0" w:right="0"/>
        <w:jc w:val="left"/>
      </w:pPr>
      <w:r>
        <w:rPr>
          <w:color w:val="000000"/>
          <w:sz w:val="24"/>
          <w:szCs w:val="24"/>
        </w:rPr>
        <w:t xml:space="preserve">In my paper I examine this new model and make further investigations in the topic. My aim is not to criticise the efficiency of the variables or the structure of the new model. I am rather examining whether those human behavioural patterns, which were taken as the basis of the model, are truly working in the field. In particular, whether those irrational activities, examined by the authors, can be truly seen among the economic players and if these phenomena are similar for particular groups of the economic players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433345">
    <w:multiLevelType w:val="hybridMultilevel"/>
    <w:lvl w:ilvl="0" w:tplc="859263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433345">
    <w:abstractNumId w:val="194333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13621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