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FERENCZI</w:t>
            </w:r>
          </w:p>
          <w:p w:rsidR="00C275A3" w:rsidRDefault="00A96AEC" w:rsidP="00C275A3">
            <w:pPr>
              <w:pStyle w:val="Hallgatokepzes"/>
            </w:pPr>
            <w:r>
              <w:t>Regional and environmental economy</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ORSOLYA LAZÁNYI</w:t>
            </w:r>
          </w:p>
          <w:p w:rsidR="00DB4822" w:rsidRDefault="00C275A3" w:rsidP="004D7940">
            <w:pPr>
              <w:pStyle w:val="Hallgatokepzes"/>
            </w:pPr>
            <w:r>
              <w:t>Regional and environmental economy</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NAGY</w:t>
            </w:r>
          </w:p>
          <w:p w:rsidR="00C275A3" w:rsidRDefault="00A96AEC" w:rsidP="00C275A3">
            <w:pPr>
              <w:pStyle w:val="Hallgatokepzes"/>
            </w:pPr>
            <w:r>
              <w:t>Regional and environmental economy</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Forman,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Way out of the wilderness along ancient passages of Őrség - Development plan of the sub-region of Őriszentpéter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local economic development, territorial development, community development, local values, local resources</w:t>
      </w:r>
      <w:r>
        <w:t xml:space="preserve"/>
      </w:r>
    </w:p>
    <w:p>
      <w:pPr>
        <w:widowControl w:val="on"/>
        <w:pBdr/>
        <w:spacing w:before="240" w:after="240" w:line="240" w:lineRule="auto"/>
        <w:ind w:left="0" w:right="0"/>
        <w:jc w:val="left"/>
      </w:pPr>
      <w:r>
        <w:rPr>
          <w:color w:val="000000"/>
          <w:sz w:val="24"/>
          <w:szCs w:val="24"/>
        </w:rPr>
        <w:t xml:space="preserve">The European Commissions’ Cohesion Reports tell us, despite the fact that differences between countries is diminishing, inequalities are growing between the centres and peripherys of most countries. In Hungary this problem is typical for regions with small villages. In this paper we examine the characteristics and development potential an area of such characteristics, the subregion of Őriszentpéter. In the first section of this study we analyze the region with tools such as SWOT, problem tree and goal tree analysis. Through our results we identify those goals and base activities through which economic development can be achieved. In the second section, based on our previous results, we build development programmes for two different scenarios. In these programmes we emphasize local strengths, as they are the key to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64215">
    <w:multiLevelType w:val="hybridMultilevel"/>
    <w:lvl w:ilvl="0" w:tplc="32013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64215">
    <w:abstractNumId w:val="26464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574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