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ZOLTÁN DONKÓ</w:t>
            </w:r>
          </w:p>
          <w:p w:rsidR="00C275A3" w:rsidRDefault="00A96AEC" w:rsidP="00C275A3">
            <w:pPr>
              <w:pStyle w:val="Hallgatokepzes"/>
            </w:pPr>
            <w:r>
              <w:t>Business Development</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KLAUDIA VAS</w:t>
            </w:r>
          </w:p>
          <w:p w:rsidR="00DB4822" w:rsidRDefault="00C275A3" w:rsidP="004D7940">
            <w:pPr>
              <w:pStyle w:val="Hallgatokepzes"/>
            </w:pPr>
            <w:r>
              <w:t>Management and Leadership</w:t>
            </w:r>
            <w:r w:rsidR="00A96AEC">
              <w:br/>
              <w:t>MSc, 1.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Erzsebet Czako, PhD</w:t>
            </w:r>
          </w:p>
          <w:p w:rsidR="00DB4822" w:rsidRDefault="00DB4822" w:rsidP="00E11062">
            <w:pPr>
              <w:pStyle w:val="Konzulensek"/>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 we have to be afraid of Russian companies? – Analysis of Gazprom’s transparency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Gazprom; Russian companies; internationalization; transparency</w:t>
      </w:r>
      <w:r>
        <w:t xml:space="preserve"/>
      </w:r>
    </w:p>
    <w:p>
      <w:pPr>
        <w:widowControl w:val="on"/>
        <w:pBdr/>
        <w:spacing w:before="240" w:after="240" w:line="240" w:lineRule="auto"/>
        <w:ind w:left="0" w:right="0"/>
        <w:jc w:val="left"/>
      </w:pPr>
      <w:r>
        <w:rPr>
          <w:color w:val="000000"/>
          <w:sz w:val="24"/>
          <w:szCs w:val="24"/>
        </w:rPr>
        <w:t xml:space="preserve">During the 2000s, Russian companies have embarked on a spectacular international expansion process, however this internationalization is often hindered by a general fear of Russian companies. Our paper explores whether the reservations that surround Russian companies - mostly in the member states of the European Union - are justified. First, we reviewed the general trends of the expansion of Russian companies, and analyzed whether the theories that describe the internationalization of Western companies can be applied for the Russian corporations as well. Our analysis has shown that the political motivations and home country factors (e.g. state politics) behind the international expansion are much more relevant in the case of Russia’s multinational companies, and can partly explain the reservations against Russian companies. Next, in the framework of a qualitative research we have analyzed the annual reports, supplementary documentations and corporate webpages of Russia’s Gazprom and of a benchmark company, the Western-European Royal Dutch Shell in order to compare the transparency of the two companies. The conclusion of our research is that Gazprom’s data provisioning is lacking when compared with Shell, especially with respect to information on its shareholders, government payments, foreign assets and corporate governance structure. At the same time, Russian companies have been sharing more and more information publicly over the years, indicating a progress in the field of transparency. To conclude, the reservations against Russian companies are well founded, however the extent of these reservations may seem overly excessive and are likely to be propelled by the high power of influence of the Russian state politics.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716813">
    <w:multiLevelType w:val="hybridMultilevel"/>
    <w:lvl w:ilvl="0" w:tplc="99298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716813">
    <w:abstractNumId w:val="347168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37142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