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RENATA RAJNA</w:t>
            </w:r>
          </w:p>
          <w:p w:rsidR="00C275A3" w:rsidRDefault="00A96AEC" w:rsidP="00C275A3">
            <w:pPr>
              <w:pStyle w:val="Hallgatokepzes"/>
            </w:pPr>
            <w:r>
              <w:t>Finance and Accounting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Lajtai</w:t>
            </w:r>
          </w:p>
          <w:p w:rsidR="00DB4822" w:rsidRDefault="00DB4822" w:rsidP="00E11062">
            <w:pPr>
              <w:pStyle w:val="Konzulensek"/>
            </w:pPr>
            <w:r w:rsidRPr="00DB4822">
              <w:t>Financial Analyst,  Hostettler Kramarsch &amp; Partner AG</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Shareholder value creation in a company's lifecycle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value creation, shareholder, Nanushka, start up, venture capital</w:t>
      </w:r>
      <w:r>
        <w:t xml:space="preserve"/>
      </w:r>
    </w:p>
    <w:p>
      <w:pPr>
        <w:widowControl w:val="on"/>
        <w:pBdr/>
        <w:spacing w:before="240" w:after="240" w:line="240" w:lineRule="auto"/>
        <w:ind w:left="0" w:right="0"/>
        <w:jc w:val="left"/>
      </w:pPr>
      <w:r>
        <w:rPr>
          <w:color w:val="000000"/>
          <w:sz w:val="24"/>
          <w:szCs w:val="24"/>
        </w:rPr>
        <w:t xml:space="preserve">The question of my paper is that how does the shareholder value creation change over the phases of the corporate lifecycle. In each phase it depends on the matching form of financing. First, I introduce the concept of shareholder value through value drivers and then I show a possible transformation of shareholder-stucture. I analyse each shareholder-type according to the main characteristics of the lifecycle stage and according to their conncetion to the current investment phase. After comparing these shareholder-types I conclude that each type becomes a shareholder in the company at different stages according to their investment preferences. That is why the investment horizon is also different.</w:t>
      </w:r>
    </w:p>
    <w:p>
      <w:pPr>
        <w:widowControl w:val="on"/>
        <w:pBdr/>
        <w:spacing w:before="240" w:after="240" w:line="240" w:lineRule="auto"/>
        <w:ind w:left="0" w:right="0"/>
        <w:jc w:val="left"/>
      </w:pPr>
      <w:r>
        <w:rPr>
          <w:color w:val="000000"/>
          <w:sz w:val="24"/>
          <w:szCs w:val="24"/>
        </w:rPr>
        <w:t xml:space="preserve">I demonstrate the transformation of shareholder-structure on the case study of Nanushka, a Hungarian fashion designer start-up. I conducted research on the side of of the founder and the investor as well. I examined that why the expansion-focused venture capital investor fits the need of Nanushka at this stage and is co-owner of the company.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678669">
    <w:multiLevelType w:val="hybridMultilevel"/>
    <w:lvl w:ilvl="0" w:tplc="785533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678669">
    <w:abstractNumId w:val="646786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46676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