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FŐZŐ</w:t>
            </w:r>
          </w:p>
          <w:p w:rsidR="00C275A3" w:rsidRDefault="00A96AEC" w:rsidP="00C275A3">
            <w:pPr>
              <w:pStyle w:val="Hallgatokepzes"/>
            </w:pPr>
            <w:r>
              <w:t>International economy and business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Gyula Nagy </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provisioned changes of 2014-2020 EU cohesion policy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analyzed the provisioned changes of European Union cohesion policy as a part of the new Multiannual Financial Framework of 2014-2020. The EU cohesion policy is especially important not only because it is one of the biggest expenditure of the EU budget, but also because the overwhelming majority of developmental projects was financed from this source in many countries, such as Hungary. The EU cohesion policy aimed not only to decrease development gaps between member states and facilitate their convergence, but also to reduce tensions of the single market competition in this diverse community. </w:t>
      </w:r>
    </w:p>
    <w:p>
      <w:pPr>
        <w:widowControl w:val="on"/>
        <w:pBdr/>
        <w:spacing w:before="240" w:after="240" w:line="240" w:lineRule="auto"/>
        <w:ind w:left="0" w:right="0"/>
        <w:jc w:val="left"/>
      </w:pPr>
      <w:r>
        <w:rPr>
          <w:color w:val="000000"/>
          <w:sz w:val="24"/>
          <w:szCs w:val="24"/>
        </w:rPr>
        <w:t xml:space="preserve">The rules and institutions of EU cohesion policy are different in every budgetary term. Thus my goal with this paper is to introduce these differences between the 2007-2013 and the 2014-2020 cohesion policy systems according to the provisioned regulatory framework. But the comparison is not strictly descriptive: the differences needed to be evaluated and analyzed in order to get a clearer picture from the direction of institutional development of EU policies. For the analyzes I used the framework of “multi-level governance vs. renationalization thesis’ debate of the European Union research. According to my hypothesis, a more multi-level institutional arrangement can be traced in the new regulation (mostly in the programming parts of the regulation), as it happened in the case of the last regulatory shift in 2007. This means that the ideas of European Commission and notions of EU community will prevail in the new system often at the expense of member state interests. </w:t>
      </w:r>
    </w:p>
    <w:p>
      <w:pPr>
        <w:widowControl w:val="on"/>
        <w:pBdr/>
        <w:spacing w:before="240" w:after="240" w:line="240" w:lineRule="auto"/>
        <w:ind w:left="0" w:right="0"/>
        <w:jc w:val="left"/>
      </w:pPr>
      <w:r>
        <w:rPr>
          <w:color w:val="000000"/>
          <w:sz w:val="24"/>
          <w:szCs w:val="24"/>
        </w:rPr>
        <w:t xml:space="preserve">Firstly I introduced the academic discourse of ‘Multi-level Governance and Re-nationalization thesis debate’. According to the introduced framework and the practice of past analyses, I analyzed the changes and new elements of the 2014-2020 regulatory framework according to the provisioned regulations that were available in early 2014. As a conclusion, I summarized my findings: the provisioned regulation has to be seen as a major reform in many fields of the cohesion policy. This reform mostly entails a more multi-level institutional system with more obligations on member states. Thus the new reform reflects mainly Commission and centrum ideas and member states preserved their room for maneuver mostly in relation to allocation, and not in the fields of programming. According to these finding, the main direction of cohesion policy development did not change with the new regulation.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47669">
    <w:multiLevelType w:val="hybridMultilevel"/>
    <w:lvl w:ilvl="0" w:tplc="18971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47669">
    <w:abstractNumId w:val="533476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0623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