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BAYER</w:t>
            </w:r>
          </w:p>
          <w:p w:rsidR="00C275A3" w:rsidRDefault="00A96AEC" w:rsidP="00C275A3">
            <w:pPr>
              <w:pStyle w:val="Hallgatokepzes"/>
            </w:pPr>
            <w:r>
              <w:t>Actuarial and Financial Mathematics</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Miklós Pintér</w:t>
            </w:r>
          </w:p>
          <w:p w:rsidR="00DB4822" w:rsidRDefault="00DB4822" w:rsidP="00BA6BAF">
            <w:pPr>
              <w:pStyle w:val="Konzulensektitulus"/>
            </w:pPr>
            <w:r w:rsidRPr="00DB4822">
              <w:t>Associate Professor, BCE KTK Corvinus University of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Ambiguity neutrality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decision theory, ambiguity, Choquet expected utility, TU-games, nucleolus</w:t>
      </w:r>
      <w:r>
        <w:t xml:space="preserve"/>
      </w:r>
    </w:p>
    <w:p>
      <w:pPr>
        <w:widowControl w:val="on"/>
        <w:pBdr/>
        <w:spacing w:before="240" w:after="240" w:line="240" w:lineRule="auto"/>
        <w:ind w:left="0" w:right="0"/>
        <w:jc w:val="left"/>
      </w:pPr>
      <w:r>
        <w:rPr>
          <w:color w:val="000000"/>
          <w:sz w:val="24"/>
          <w:szCs w:val="24"/>
        </w:rPr>
        <w:t xml:space="preserve">The paper is about ambiguity neutral behavior in decision theory. Ambiguity is the analogous concept of risk in situations where the probability of outcomes is (sometimes) unknown. As an extension of expected utility theory ambiguity is used to solve Ellsberg's paradox. In the paper's introduction we briefly characterize the nucleolus for the set of capacities. This result is then put to use in Epstein (1999)'s model to define ambiguity neutral decision makers based on their subjective probabilities a la Schmeidler (1989). The paper argues that the axioms characterizing the nucleolus in TU-games can be used to describe ambiguity neutral decision makers. Our subsequent definition is strictly stronger than that of Epstein (1999) and Ghirardato and Marinacci (2003). Following Ghirardato and Marinacci, taking ambigutity neutrality as a benchmark, we proceed to define ambiguity seeker and ambiguity averse behaviors.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44339">
    <w:multiLevelType w:val="hybridMultilevel"/>
    <w:lvl w:ilvl="0" w:tplc="20150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44339">
    <w:abstractNumId w:val="21144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292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