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VARGA</w:t>
            </w:r>
          </w:p>
          <w:p w:rsidR="00C275A3" w:rsidRDefault="00A96AEC" w:rsidP="00C275A3">
            <w:pPr>
              <w:pStyle w:val="Hallgatokepzes"/>
            </w:pPr>
            <w:r>
              <w:t>International business</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Meszaros</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automotive government relations - Automotive OEM projects of the IGD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automotive industry; government; OEM; IGD</w:t>
      </w:r>
      <w:r>
        <w:t xml:space="preserve"/>
      </w:r>
    </w:p>
    <w:p>
      <w:pPr>
        <w:widowControl w:val="on"/>
        <w:pBdr/>
        <w:spacing w:before="240" w:after="240" w:line="240" w:lineRule="auto"/>
        <w:ind w:left="0" w:right="0"/>
        <w:jc w:val="left"/>
      </w:pPr>
      <w:r>
        <w:rPr>
          <w:color w:val="000000"/>
          <w:sz w:val="24"/>
          <w:szCs w:val="24"/>
        </w:rPr>
        <w:t xml:space="preserve">The thesis analyses the systematic relations between the actors of the Hungarian automotive industry and the government. The competitiveness of the domestic automotive industry and the Hungarian economy depends on the effectiveness of the industrial cooperation (business to business, business to government).</w:t>
      </w:r>
    </w:p>
    <w:p>
      <w:pPr>
        <w:widowControl w:val="on"/>
        <w:pBdr/>
        <w:spacing w:before="240" w:after="240" w:line="240" w:lineRule="auto"/>
        <w:ind w:left="0" w:right="0"/>
        <w:jc w:val="left"/>
      </w:pPr>
      <w:r>
        <w:rPr>
          <w:color w:val="000000"/>
          <w:sz w:val="24"/>
          <w:szCs w:val="24"/>
        </w:rPr>
        <w:br/>
        <w:t xml:space="preserve">In today’s internationally integrated market economy in which FDI has reached significant levels, the presence and the development of lobbying cannot be considered alien. This study is a comprehensive analysis which presents the actors and the structure of the Hungarian automotive industry’s government relations until 2012. The paper introduces the investment promotion system of the automotive industry and the Hungarian economy policies valid for the automotive industry. Within investment promotion there’s a focus on the Hungarian IGD system in the means of OEM projects.</w:t>
      </w:r>
    </w:p>
    <w:p>
      <w:pPr>
        <w:widowControl w:val="on"/>
        <w:pBdr/>
        <w:spacing w:before="240" w:after="240" w:line="240" w:lineRule="auto"/>
        <w:ind w:left="0" w:right="0"/>
        <w:jc w:val="left"/>
      </w:pPr>
      <w:r>
        <w:rPr>
          <w:color w:val="000000"/>
          <w:sz w:val="24"/>
          <w:szCs w:val="24"/>
        </w:rPr>
        <w:br/>
        <w:t xml:space="preserve">In the paper, besides theoretical approaches, primary sources have the emphasis. Interviews with leaders of Hungarian companies and governmental officials provide the practical side of the analysis.</w:t>
      </w:r>
    </w:p>
    <w:p>
      <w:pPr>
        <w:widowControl w:val="on"/>
        <w:pBdr/>
        <w:spacing w:before="240" w:after="240" w:line="240" w:lineRule="auto"/>
        <w:ind w:left="0" w:right="0"/>
        <w:jc w:val="left"/>
      </w:pPr>
      <w:r>
        <w:rPr>
          <w:color w:val="000000"/>
          <w:sz w:val="24"/>
          <w:szCs w:val="24"/>
        </w:rPr>
        <w:br/>
        <w:t xml:space="preserve">Beyond analyzing, the paper’s aim is to compose economic policy suggestions which may facilitate cooperation between the actors of the automotive industry and the government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37393">
    <w:multiLevelType w:val="hybridMultilevel"/>
    <w:lvl w:ilvl="0" w:tplc="5382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37393">
    <w:abstractNumId w:val="69637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433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