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ZOLTÁN VÁGÓ</w:t>
            </w:r>
          </w:p>
          <w:p w:rsidR="00C275A3" w:rsidRDefault="00A96AEC" w:rsidP="00C275A3">
            <w:pPr>
              <w:pStyle w:val="Hallgatokepzes"/>
            </w:pPr>
            <w:r>
              <w:t>Business Administration and Management</w:t>
            </w:r>
            <w:r>
              <w:br/>
            </w:r>
            <w:r w:rsidR="00E77B23">
              <w:t>BSc,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Éva Berde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 (CUB - Department of Microeconomics),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Dual labour market and win-maximizing behaviour in professional football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football; labour market; sport; wage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Today's football labour market can be characterized as dual in nature. The most talented players who perform at the highest level - the so-called "superstars" - earn disproportionally high wages compared to others: the "average" players. Unlike average players, starts possess some degree of market power which ultimately skews the distribution of wages in their favour.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aimed to explain the causes behind this phenomenon through a microeconomic model. First, I separately examined the characteristics of markets for both types of players, then combined the results into a single, coherent model of the real football player market.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distribution of wages in the model is primarily determined by the win-maximizing behaviour of football clubs, which pursue a strategy based on maximizing the number of star players with a given financial constraint.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next step was confirming the presence of this "superstar effect" by collecting various empirical evidence. After this I examined the impact star players have on the financial and on-field success of their employers, the clubs. Eventually, I wanted to decide the following question: does it worth it for clubs to utilize this strategy?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Based on the financial data and football results of ten consecutive Premier League seasons I carried out a regression analysis. I found out that if a club spent one million pound more on total wages in a season than the league average, then it earned 0.2 more league points (the indicator of club success in the regression model). However, above-average spending had significantly diminishing returns in term of points in the examined sample. Ultimately, I concluded that the introduced win-maximizing strategy is a rational one in the context provided by the dual labour market of football players.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741E" w:rsidRDefault="00B5741E">
      <w:r>
        <w:separator/>
      </w:r>
    </w:p>
  </w:endnote>
  <w:endnote w:type="continuationSeparator" w:id="1">
    <w:p w:rsidR="00B5741E" w:rsidRDefault="00B574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12A38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741E" w:rsidRDefault="00B5741E">
      <w:r>
        <w:separator/>
      </w:r>
    </w:p>
  </w:footnote>
  <w:footnote w:type="continuationSeparator" w:id="1">
    <w:p w:rsidR="00B5741E" w:rsidRDefault="00B574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90078">
    <w:multiLevelType w:val="hybridMultilevel"/>
    <w:lvl w:ilvl="0" w:tplc="551633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90078">
    <w:abstractNumId w:val="725900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6D12BB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">
    <w:name w:val="Konzulensek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5056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4</cp:revision>
  <cp:lastPrinted>1601-01-01T00:00:00Z</cp:lastPrinted>
  <dcterms:created xsi:type="dcterms:W3CDTF">2014-08-30T18:28:00Z</dcterms:created>
  <dcterms:modified xsi:type="dcterms:W3CDTF">2014-08-30T18:39:00Z</dcterms:modified>
</cp:coreProperties>
</file>