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TAMÁS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BALÁZS</w:t>
            </w:r>
          </w:p>
          <w:p w:rsidR="00DB4822" w:rsidRDefault="00C275A3" w:rsidP="004D7940">
            <w:pPr>
              <w:pStyle w:val="Hallgatokepzes"/>
            </w:pPr>
            <w:r>
              <w:t>Alkalmazott Közgazdaságtan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Társadalomtudományi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Sz. Kis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Üzleti kontroller,  Telenor Magyarország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Olajozott problémák? - az OPEC mint kartell működése és a kartell-megállapodástól való eltérés okai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kartell; olajpiac; OPEC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az OPEC tagországainak olajpiacon való összejátszását vizsgáljuk. A szakirodalmakban nincs megegyezés abban a tekintetben hogy az OPEC országok összejátszanak-e, és abban sem, hogy mennyiben van árbefolyásoló szerepük. Az OPEC stratégiája, hogy az 1982-ben létrehozott kvótarendszerén keresztül próbálja stabilan magasan tartani az olajárakat, ezzel növelve tagországainak olajból származó bevételeit. A termelési adatokból azonban kiderül, hogy az országok saját rövidtávú céljaikat szem előtt tartva jóval többet termelnek, mint azt a kvótájuk engedné.</w:t>
      </w:r>
      <w:r>
        <w:rPr>
          <w:color w:val="000000"/>
          <w:sz w:val="24"/>
          <w:szCs w:val="24"/>
        </w:rPr>
        <w:br/>
        <w:t xml:space="preserve">A dolgozatban a "csalások" mögöttes okait keressük, mert úgy hisszük, ezek a tényezők felelősek azért, hogy a kartell nem tudja véghezvinni a hosszútávon, együttesen optimálisnak hitt stratégiáját. Feltevéseink szerint a kvóta és a valódi termelés közti eltérést mind olajpiaci, mind az országokon belüli események befolyásolhatják. A pontos eredmények érdekében panel ökonometriai módszereket alkalmazunk. Eredményeink igazolják a feltett hipotéziseinket, azonban a felmerülő problémák arra is rávilágítanak, hogy a kartell viselkedésének mélyebb megértéshez a jövőben az egyes tagországok bel- és külpolitikai jellemzőit is alaposabban kell vizsgálnunk.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324623">
    <w:multiLevelType w:val="hybridMultilevel"/>
    <w:lvl w:ilvl="0" w:tplc="287244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324623">
    <w:abstractNumId w:val="773246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53246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