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DALMA FORGACS</w:t>
            </w:r>
          </w:p>
          <w:p w:rsidR="00C275A3" w:rsidRDefault="00A96AEC" w:rsidP="00C275A3">
            <w:pPr>
              <w:pStyle w:val="Hallgatokepzes"/>
            </w:pPr>
            <w:r>
              <w:t>Communication and Media Studies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>Faculty of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EVA MIKLOS</w:t>
            </w:r>
          </w:p>
          <w:p w:rsidR="00DB4822" w:rsidRDefault="00C275A3" w:rsidP="004D7940">
            <w:pPr>
              <w:pStyle w:val="Hallgatokepzes"/>
            </w:pPr>
            <w:r>
              <w:t>Communication and Media Studies</w:t>
            </w:r>
            <w:r w:rsidR="00A96AEC">
              <w:br/>
              <w:t>MSc, 4. semester</w:t>
            </w:r>
          </w:p>
          <w:p w:rsidR="00DB4822" w:rsidRDefault="00DB4822" w:rsidP="004D7940">
            <w:pPr>
              <w:pStyle w:val="Hallgatointezmeny-kar"/>
            </w:pPr>
            <w:r>
              <w:t>Corvinus University of Budapest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Social Sciences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Reka Jablonkai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ERASMUS exchange-programme's effects on identity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Each year more than 230 000 students can benefit from Erasmus-mobility, the European exchange-programme, and the number is increasing. Some researchers call them the "Erasmus-generation", some consider them as the ambassadors of cultural tourism.</w:t>
      </w:r>
      <w:r>
        <w:rPr>
          <w:color w:val="000000"/>
          <w:sz w:val="24"/>
          <w:szCs w:val="24"/>
        </w:rPr>
        <w:br/>
        <w:t xml:space="preserve">The present study is investigating the emotional dimension and intensity of Hungarian university students spending at least one semester in another European country within the framework of Erasmus mobility-programme. Three hypothesises were tested: ”Former Erasmus-students feel more European, than their non-mobile peers”, ” Former Erasmus-students have stronger national identity, than their non-mobile peers” and it was expected that "Those will have the strongest European-identity, who initially had positive feelings towards Europe and participated in the programme".</w:t>
      </w:r>
      <w:r>
        <w:rPr>
          <w:color w:val="000000"/>
          <w:sz w:val="24"/>
          <w:szCs w:val="24"/>
        </w:rPr>
        <w:br/>
        <w:t xml:space="preserve">The test-package, consisting of a survey and a free-association part, was filled out online by our participants. We got no significant differnce regarding the intensity of European or national identity of former Erasmus and non-mobile students. However, in the free-association part only former Erasmus-students gave associations regarding diversity and opportunitities in the context of EU, Europe and Europeans.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090948">
    <w:multiLevelType w:val="hybridMultilevel"/>
    <w:lvl w:ilvl="0" w:tplc="209310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090948">
    <w:abstractNumId w:val="230909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10642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