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 ANITA</w:t>
            </w:r>
          </w:p>
          <w:p w:rsidR="00C275A3" w:rsidRDefault="00A96AEC" w:rsidP="00C275A3">
            <w:pPr>
              <w:pStyle w:val="Hallgatokepzes"/>
            </w:pPr>
            <w:r>
              <w:t>Nemzetközi Tanulmányok/Politológia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vizeken?- A tengeri kalózkodás nemzetközi jogi szabályozásának új irányai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tengeri kalózkodás nemzetközi jogi szabályozását mutattam be.</w:t>
      </w:r>
      <w:r>
        <w:rPr>
          <w:color w:val="000000"/>
          <w:sz w:val="24"/>
          <w:szCs w:val="24"/>
        </w:rPr>
        <w:br/>
        <w:t xml:space="preserve">Ennek kapcsán a hipotézisem az volt, hogy a jelenlegi szabályozás nem megfelelő, melynek</w:t>
      </w:r>
      <w:r>
        <w:rPr>
          <w:color w:val="000000"/>
          <w:sz w:val="24"/>
          <w:szCs w:val="24"/>
        </w:rPr>
        <w:br/>
        <w:t xml:space="preserve">legfőbb oka a vesztfáliai típusú államrendszer korlátai.</w:t>
      </w:r>
      <w:r>
        <w:rPr>
          <w:color w:val="000000"/>
          <w:sz w:val="24"/>
          <w:szCs w:val="24"/>
        </w:rPr>
        <w:br/>
        <w:t xml:space="preserve">Az állítás alátámasztására elemeztem a szabályozás fejlődését, valamint az UNCLOS</w:t>
      </w:r>
      <w:r>
        <w:rPr>
          <w:color w:val="000000"/>
          <w:sz w:val="24"/>
          <w:szCs w:val="24"/>
        </w:rPr>
        <w:br/>
        <w:t xml:space="preserve">definíciója alapján a jelenleg használatos fogalmat. Ennek kapcsán a probléma két elemre</w:t>
      </w:r>
      <w:r>
        <w:rPr>
          <w:color w:val="000000"/>
          <w:sz w:val="24"/>
          <w:szCs w:val="24"/>
        </w:rPr>
        <w:br/>
        <w:t xml:space="preserve">vezethető vissza. Az első a területi hatály elégtelensége, a másik pedig az definíció alanyainak</w:t>
      </w:r>
      <w:r>
        <w:rPr>
          <w:color w:val="000000"/>
          <w:sz w:val="24"/>
          <w:szCs w:val="24"/>
        </w:rPr>
        <w:br/>
        <w:t xml:space="preserve">meghatározása. A fenti elméleti megállapítások alátámasztására Szomália esetét mutattam be.</w:t>
      </w:r>
      <w:r>
        <w:rPr>
          <w:color w:val="000000"/>
          <w:sz w:val="24"/>
          <w:szCs w:val="24"/>
        </w:rPr>
        <w:br/>
        <w:t xml:space="preserve">Az eset kapcsán szintén a fenti két pont volt szintén legproblémásabb és a legfőbb akadálya a</w:t>
      </w:r>
      <w:r>
        <w:rPr>
          <w:color w:val="000000"/>
          <w:sz w:val="24"/>
          <w:szCs w:val="24"/>
        </w:rPr>
        <w:br/>
        <w:t xml:space="preserve">kalózok elfogásának és a probléma visszaszorításának.</w:t>
      </w:r>
      <w:r>
        <w:rPr>
          <w:color w:val="000000"/>
          <w:sz w:val="24"/>
          <w:szCs w:val="24"/>
        </w:rPr>
        <w:br/>
        <w:t xml:space="preserve">Továbbá látható, hogy a hagyományos állami keretrendszer nem tudja megoldani a</w:t>
      </w:r>
      <w:r>
        <w:rPr>
          <w:color w:val="000000"/>
          <w:sz w:val="24"/>
          <w:szCs w:val="24"/>
        </w:rPr>
        <w:br/>
        <w:t xml:space="preserve">problémát. Ezt támasztja alá az is, hogy a jelenleg effektívnek tekinthető megoldási javaslatok</w:t>
      </w:r>
      <w:r>
        <w:rPr>
          <w:color w:val="000000"/>
          <w:sz w:val="24"/>
          <w:szCs w:val="24"/>
        </w:rPr>
        <w:br/>
        <w:t xml:space="preserve">is átlépnek ezeken a kereteken, az állami szuverenitás bizonyos mértékű korlátozásával.</w:t>
      </w:r>
      <w:r>
        <w:rPr>
          <w:color w:val="000000"/>
          <w:sz w:val="24"/>
          <w:szCs w:val="24"/>
        </w:rPr>
        <w:br/>
        <w:t xml:space="preserve">Végül ezt a gondolatot továbbfolytatva elemeztem a lehetséges megoldásokat, melyek</w:t>
      </w:r>
      <w:r>
        <w:rPr>
          <w:color w:val="000000"/>
          <w:sz w:val="24"/>
          <w:szCs w:val="24"/>
        </w:rPr>
        <w:br/>
        <w:t xml:space="preserve">egyértelműen a regionális kooperáció és az állami szuverenitás bizonyos mértékű korlátozása</w:t>
      </w:r>
      <w:r>
        <w:rPr>
          <w:color w:val="000000"/>
          <w:sz w:val="24"/>
          <w:szCs w:val="24"/>
        </w:rPr>
        <w:br/>
        <w:t xml:space="preserve">felé mutatnak, vagyis szintén túllépnek a nemzetközi jog hagyományos államalapú</w:t>
      </w:r>
      <w:r>
        <w:rPr>
          <w:color w:val="000000"/>
          <w:sz w:val="24"/>
          <w:szCs w:val="24"/>
        </w:rPr>
        <w:br/>
        <w:t xml:space="preserve">szemléletén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58716">
    <w:multiLevelType w:val="hybridMultilevel"/>
    <w:lvl w:ilvl="0" w:tplc="48575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58716">
    <w:abstractNumId w:val="11358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310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