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ENGLERT</w:t>
            </w:r>
          </w:p>
          <w:p w:rsidR="00C275A3" w:rsidRDefault="00A96AEC" w:rsidP="00C275A3">
            <w:pPr>
              <w:pStyle w:val="Hallgatokepzes"/>
            </w:pPr>
            <w:r>
              <w:t>Computer Science</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Tichler</w:t>
            </w:r>
          </w:p>
          <w:p w:rsidR="00DB4822" w:rsidRDefault="00DB4822" w:rsidP="00E11062">
            <w:pPr>
              <w:pStyle w:val="Konzulensek"/>
            </w:pPr>
            <w:r w:rsidRPr="00DB4822">
              <w:t>assistant professor, ELTE IK</w:t>
            </w:r>
          </w:p>
        </w:tc>
      </w:tr>
      <w:tr w:rsidR="00DB4822" w:rsidTr="00DB4822">
        <w:tc>
          <w:tcPr>
            <w:tcW w:w="9854" w:type="dxa"/>
          </w:tcPr>
          <w:p w:rsidR="00DB4822" w:rsidRPr="00DB4822" w:rsidRDefault="00DB4822" w:rsidP="004D7940">
            <w:pPr>
              <w:pStyle w:val="Konzulensek"/>
            </w:pPr>
            <w:r w:rsidRPr="00DB4822">
              <w:t>Péter Kovács</w:t>
            </w:r>
          </w:p>
          <w:p w:rsidR="00DB4822" w:rsidRDefault="00DB4822" w:rsidP="00E11062">
            <w:pPr>
              <w:pStyle w:val="Konzulensek"/>
            </w:pPr>
            <w:r w:rsidRPr="00DB4822">
              <w:t>external,  ChemAxon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maximum common subgraph search on molecular graphs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maximum common subgraph problem is a classic NP-complete problem with many applications in the field of chemoinformatics. Its diverse uses include predicting biological activity of new compounds, lead optimization, automated reaction mapping, and measuring and visualizing the similarity of molecules.</w:t>
      </w:r>
    </w:p>
    <w:p>
      <w:pPr>
        <w:widowControl w:val="on"/>
        <w:pBdr/>
        <w:spacing w:before="240" w:after="240" w:line="240" w:lineRule="auto"/>
        <w:ind w:left="0" w:right="0"/>
        <w:jc w:val="left"/>
      </w:pPr>
      <w:r>
        <w:rPr>
          <w:color w:val="000000"/>
          <w:sz w:val="24"/>
          <w:szCs w:val="24"/>
        </w:rPr>
        <w:t xml:space="preserve">Most of these applications have strict constraints on running time, so approximate maximum common subgraph algorithms are often preferred in practice. However, to develop an algorithm which is both fast enough and accurate enough for most practical purposes is still a challenge. Another difficulty is that in some cases, the quality of the common subgraph found by an algorithm depends not only on the size of the subgraph, but also on topological features of the one-to-one mapping between atoms of the two molecules that it defines.</w:t>
      </w:r>
    </w:p>
    <w:p>
      <w:pPr>
        <w:widowControl w:val="on"/>
        <w:pBdr/>
        <w:spacing w:before="240" w:after="240" w:line="240" w:lineRule="auto"/>
        <w:ind w:left="0" w:right="0"/>
        <w:jc w:val="left"/>
      </w:pPr>
      <w:r>
        <w:rPr>
          <w:color w:val="000000"/>
          <w:sz w:val="24"/>
          <w:szCs w:val="24"/>
        </w:rPr>
        <w:t xml:space="preserve">We have implemented two different state of the art approximate algorithms at ChemAxon Ltd. based on the available literature, and developed different heuristics to improve upon them. The resulting algorithms have been evaluated, found to easily surpass previously set benchmarks, and successfully integrated into multiple products at ChemAxon. The purpose of this paper is to summarize our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22361">
    <w:multiLevelType w:val="hybridMultilevel"/>
    <w:lvl w:ilvl="0" w:tplc="99657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22361">
    <w:abstractNumId w:val="77922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732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