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KUNDRÁK VILLŐ SÁRA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Békés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Sivádó Máté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tanásrsegéd,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kábítószer-kereskedelem bűnüldözésének hatékonyabbá tétele nemzeti szinten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célja, hogy a gyakorlati tapasztalatok összegzésén és elemzésén keresztül rávilágítsak azokra a tényezőkre, amelyek a kábítószer-kereskedelem bűnüldözését hátráltatják, és emellett tömören bemutassam azon szemléletmódokat és fejlesztési lehetőségek, amelyek a Magyarországon alkalmazott módszerekhez képest többletértékeket tartalmaznak.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elsődlegesen arra a kutatási eredményre jutottam, hogy a nyomozás során, a bizonyítékok megszerzése, illetőleg büntetőeljárásbeli felhasználásuk az alább részletezett okokból kifolyólag nem történik meg elég hatékonyan:</w:t>
      </w:r>
      <w:r>
        <w:rPr>
          <w:color w:val="000000"/>
          <w:sz w:val="24"/>
          <w:szCs w:val="24"/>
        </w:rPr>
        <w:br/>
        <w:t xml:space="preserve">Az 1998. évi XIX. törvény keretében lefektetett védelmi intézkedések, valamint az olyan nemzetközi intézmények, mint a közös nyomozócsoportok kiaknázatlanul hagyása, illetőleg a nyomozásban részt vevő szervek között megjelenő komoly együttműködési problémák, és a helyenkénti jogi anomáliák, többek között azt a következményt vonják magukkal, hogy a bűncselekmény gyakran nem lesz bizonyítható, és/vagy a büntetőeljárás alá vont személy büntetőjogi felelőssége, vagy az anyagi jog feltárása csupán oly csekély mélységben tud megtörténni, hogy a büntetőeljárás szakaszai közül a nyomozási szakban befejeződik az eljárás, vagy a vádemelés kisebb súlyú bűncselekmény miatt történik meg annál, mint, amit valójában elkövettek.</w:t>
      </w:r>
      <w:r>
        <w:rPr>
          <w:color w:val="000000"/>
          <w:sz w:val="24"/>
          <w:szCs w:val="24"/>
        </w:rPr>
        <w:br/>
        <w:t xml:space="preserve">A pszichoaktív anyagok elleni küzdelem megvívására napjainkban alapvetően kétféle módszer szolgálhat eszközül: a jelenlegi tiltólistás szabályozásunk, illetőleg egy jóval liberálisabb, az új-zélandi mintán alapuló modell alkalmazása. Dolgozatomban nem kívántam drogpolitikánkkal kapcsolatosan állást foglalni, az azonban bizonyos, hogy amennyiben a jelenlegi szabályozásunk mentén kívánunk továbbhaladni, akkor kutatások finanszírozása és avégett, hogy a bűnügyi szakértői intézetek megfelelően tudják munkájukat ellátni jelentősen meg kellene növelni az e területre szánt pénzügyi keretet.</w:t>
      </w:r>
      <w:r>
        <w:rPr>
          <w:color w:val="000000"/>
          <w:sz w:val="24"/>
          <w:szCs w:val="24"/>
        </w:rPr>
        <w:br/>
        <w:t xml:space="preserve">Megemlítendő továbbá, hogy a bűnüldöző hatóságok gyakran olyan intézkedéseket is elmulasztanak megtenni, amelyek a bűnszervezet működésének ellehetetlenítését szolgálhatnák.</w:t>
      </w:r>
      <w:r>
        <w:rPr>
          <w:color w:val="000000"/>
          <w:sz w:val="24"/>
          <w:szCs w:val="24"/>
        </w:rPr>
        <w:br/>
        <w:t xml:space="preserve">Végezetül hangsúlyozni kívánom, hogy a kábítószer-probléma multidiszciplináris jellege miatt az ellene való fellépés nem lehet szinte kizárólagosan a rendészet és a bűnüldöző hatóságok feladata, hanem komoly hangsúlyt kell fektetni a megelőzés és az ártalomcsökkentés megerősítésére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43532">
    <w:multiLevelType w:val="hybridMultilevel"/>
    <w:lvl w:ilvl="0" w:tplc="81258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43532">
    <w:abstractNumId w:val="13543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702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