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TAKÁTSNÉ SCHUBERT JUDIT</w:t>
            </w:r>
          </w:p>
          <w:p w:rsidR="00C275A3" w:rsidRDefault="00A96AEC" w:rsidP="00C275A3">
            <w:pPr>
              <w:pStyle w:val="Hallgatokepzes"/>
            </w:pPr>
            <w:r>
              <w:t>Gazdálkodás és menedzsment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Gábor Dénes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Keresztes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adjunktus, GDF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Önzetlenség vagy stratégia - társadalmi felelősségvállalás a pénzügyi szektorban – központban az OTP Bankkal.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CSR; OTP; devizahitel; felmérés; Önkéntes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Célom, hogy tiszta képet adjak hallgatóimnak a társadalmi felelősségvállalás jelentőségéről egy piacvezető pénzintézet (OTP Bank Nyrt) szemszögéből. Az előadás konkrét tényeken alapszik, mely megvizsgálja, hogy a CSR tevékenység a magyarországi pénzintézetek számá-ra egy stratégiai döntés, vagy valóban önzetlen tevékenység-e.</w:t>
      </w:r>
      <w:r>
        <w:rPr>
          <w:color w:val="000000"/>
          <w:sz w:val="24"/>
          <w:szCs w:val="24"/>
        </w:rPr>
        <w:br/>
        <w:t xml:space="preserve">A bevezető kérdésem az, hogy mit értünk társadalmi felelősségvállaláson. Ezen a ponton az általános megfontolásokon túl bemutatom a Követ Egyesületet (a vonatkozó szabvány kiala-kítója és az OTP CSR tevékenységét minősítő szervezet), illetve magát a CSR programot.</w:t>
      </w:r>
      <w:r>
        <w:rPr>
          <w:color w:val="000000"/>
          <w:sz w:val="24"/>
          <w:szCs w:val="24"/>
        </w:rPr>
        <w:br/>
        <w:t xml:space="preserve">A TDK munka megalapozásául kérdőíves felmérést végeztem a bank alkalmazottai illetve attól független személyek körében. Kutatásaim eredményeképpen megállapítottam, hogy a megkérdezettek nagy része – kb. 80%-a – nem tudja mit jelent ez a kifejezés. A legtöbb eset-ben adakozásra tippeltek, vagy valamilyen jogszabály által előírt feladatra. Ez az eredmény is mutatja, hogy a vállalatok társadalmi felelősségének megítélése erősen függ a vállalat működési, kulturális közegétől.</w:t>
      </w:r>
      <w:r>
        <w:rPr>
          <w:color w:val="000000"/>
          <w:sz w:val="24"/>
          <w:szCs w:val="24"/>
        </w:rPr>
        <w:br/>
        <w:t xml:space="preserve">A pénzintézetekkel kapcsolatos CSR kérdések közül részletesebben elemzem a devizahitelesek problémáját, a hátrányos helyzetű térségek és lakosság támogatását. A válaszadók szinte mindegyike szerint a vezető, jól profitáló pénzintézeteknek kötelessége, hogy e téren segítséget nyújtsanak. A kérdés, hogy a vajon bankok üzletpolitikájában ez azért csak a társadalmi elvárások miatt szerepel, vagy, mert ők maguk is kötelességüknek tartják így tenni. Izgalmas kérdés az is, hogy a stratégiai megfontolások milyen szerepet játszanak ebben?</w:t>
      </w:r>
      <w:r>
        <w:rPr>
          <w:color w:val="000000"/>
          <w:sz w:val="24"/>
          <w:szCs w:val="24"/>
        </w:rPr>
        <w:br/>
        <w:t xml:space="preserve">Bemutatom, hogy mit gondolnak az ügyfelek a horvátországi devizahitelesek peréről, a bíróság döntéséről; arról, hogy kinek a felelőssége, hogy megoldást nyújtson a bajba jutott embe-reken, s mi lenne a legjobb megoldás. Az OTP Bank CSR jelentése alapján részletesen taglalom a kitűzött célokat és elért eredményeket a 2011-es és 2012-es évben.</w:t>
      </w:r>
      <w:r>
        <w:rPr>
          <w:color w:val="000000"/>
          <w:sz w:val="24"/>
          <w:szCs w:val="24"/>
        </w:rPr>
        <w:br/>
        <w:t xml:space="preserve">Külön kitérek az OTP Önkéntes Programra, ismertetve annak fontosságát a bank és a társadalom számára. Kiemelendő, hogy a program működésében a dolgozók véleménye, hozzáállása az önkéntes kezdeményezésekhez meghatározó. Személyes élmények alapján egy konkrét önkéntes program bemutatásra kerül.</w:t>
      </w:r>
      <w:r>
        <w:rPr>
          <w:color w:val="000000"/>
          <w:sz w:val="24"/>
          <w:szCs w:val="24"/>
        </w:rPr>
        <w:br/>
        <w:t xml:space="preserve">Összehasonlításképpen egy másik, számomra független pénzintézet CSR tevékenységét is röviden szemléltetem.</w:t>
      </w:r>
      <w:r>
        <w:rPr>
          <w:color w:val="000000"/>
          <w:sz w:val="24"/>
          <w:szCs w:val="24"/>
        </w:rPr>
        <w:br/>
        <w:t xml:space="preserve">A prezentáció zárásaként az egész programról levont végkövetkeztetésekről esik szó, beleért-ve a kiváltott érzésekről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614664">
    <w:multiLevelType w:val="hybridMultilevel"/>
    <w:lvl w:ilvl="0" w:tplc="855878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614664">
    <w:abstractNumId w:val="286146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31542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