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MOLNÁR</w:t>
            </w:r>
          </w:p>
          <w:p w:rsidR="00C275A3" w:rsidRDefault="00A96AEC" w:rsidP="00C275A3">
            <w:pPr>
              <w:pStyle w:val="Hallgatokepzes"/>
            </w:pPr>
            <w:r>
              <w:t>Biology</w:t>
            </w:r>
            <w:r>
              <w:br/>
            </w:r>
            <w:r w:rsidR="00E77B23">
              <w:t>BSc, 3. semester</w:t>
            </w:r>
          </w:p>
          <w:p w:rsidR="00C265CE" w:rsidRPr="009E5FF1" w:rsidRDefault="00E77B23" w:rsidP="009763E0">
            <w:pPr>
              <w:pStyle w:val="Hallgatointezmeny-kar"/>
              <w:rPr>
                <w:b/>
                <w:caps/>
              </w:rPr>
            </w:pPr>
            <w:r>
              <w:t>Ferenc Rákóczi II. Transcarpathian Hungarian Institute</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Irén Pólin</w:t>
            </w:r>
          </w:p>
          <w:p w:rsidR="00DB4822" w:rsidRDefault="00DB4822" w:rsidP="009763E0">
            <w:pPr>
              <w:pStyle w:val="Konzulensektitulus"/>
            </w:pPr>
            <w:r w:rsidRPr="00DB4822">
              <w:t>associate professor, HT Ferenc Rákóczi II. Transcarpathian Hungarian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Data to the hard ticks (Ixodidae) fauna of the territories around Nagydobrony and Makkosjánosi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ticks are constant participants of our life. These are the second significant vector group after the mosquitoes in globally. They are host of many human and animal diseases (Lyme-disease, tick-borne encephalitis, babesiosis, e.t.c), so we have to pay attention to these. These subject is poorly studied in Transcarpathia, thats why we were choosed two hungarian-inhabited settlements (Nagydobrony and Makkosjánosi) to investigate the tick fauna of their surroundings.</w:t>
      </w:r>
      <w:r>
        <w:rPr>
          <w:color w:val="000000"/>
          <w:sz w:val="24"/>
          <w:szCs w:val="24"/>
        </w:rPr>
        <w:br/>
        <w:t xml:space="preserve">The 119 individuals was collected from 5 sample sites in spring, summer and autumn with flagging method. Most of the individuals was gathered in spring so our interpratations was based on these. All of the collected individuals was included to two species. 32 % was Ixodes ricinus and 68 % was Dermacentor reticulatus. I. ricinus is the vector of Lyme-disease and tick-borne encephalitis and D. reticulatus is responsible to spreading babesiosis. Most of the collected individuals was adult, we were gathered just 2 larval ticks, which gender was indefineable. 37 males and 74 females were captured by us. This is 33,3 % and 66,7 % of the total sample. The values of tick density are changed within 0,25 tick/meters and 0,04 tick/meters.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62968">
    <w:multiLevelType w:val="hybridMultilevel"/>
    <w:lvl w:ilvl="0" w:tplc="85729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62968">
    <w:abstractNumId w:val="55162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0112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