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TOMASHI</w:t>
            </w:r>
          </w:p>
          <w:p w:rsidR="00C275A3" w:rsidRDefault="00A96AEC" w:rsidP="00C275A3">
            <w:pPr>
              <w:pStyle w:val="Hallgatokepzes"/>
            </w:pPr>
            <w:r>
              <w:t>Geography, biology </w:t>
            </w:r>
            <w:r>
              <w:br/>
            </w:r>
            <w:r w:rsidR="00E77B23">
              <w:t>BSc, 7. semester</w:t>
            </w:r>
          </w:p>
          <w:p w:rsidR="00C265CE" w:rsidRPr="009E5FF1" w:rsidRDefault="00E77B23" w:rsidP="00C275A3">
            <w:pPr>
              <w:pStyle w:val="Hallgatokepzes"/>
              <w:rPr>
                <w:b/>
                <w:caps/>
              </w:rPr>
            </w:pPr>
            <w:r>
              <w:t>Ferenc Rákóczi II. Transcarpathian Hungarian Institute </w:t>
            </w:r>
            <w:r w:rsidR="00C275A3">
              <w:br/>
            </w:r>
            <w:r w:rsidR="00DB4822">
              <w:t>land science department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Molnar D.</w:t>
            </w:r>
          </w:p>
          <w:p w:rsidR="00DB4822" w:rsidRDefault="00DB4822" w:rsidP="00E11062">
            <w:pPr>
              <w:pStyle w:val="Konzulensek"/>
            </w:pPr>
            <w:r w:rsidRPr="00DB4822">
              <w:t>teacher ,  Ferenc Rákóczi II. Transcarpathian Hungarian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opportunities of indicating the flora of Transcarpathia on a map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r>
        <w:rPr>
          <w:color w:val="000000"/>
          <w:sz w:val="24"/>
          <w:szCs w:val="24"/>
        </w:rPr>
        <w:br/>
        <w:t xml:space="preserve">In the first part of the work we dealt with the general characterization of Transcarpathia. We characterized its natural features, location, geological structure, mineral resources, hydrogeology and most importantly its fauna and flora.</w:t>
      </w:r>
      <w:r>
        <w:rPr>
          <w:color w:val="000000"/>
          <w:sz w:val="24"/>
          <w:szCs w:val="24"/>
        </w:rPr>
        <w:br/>
        <w:t xml:space="preserve">During the second part, the Geographic Information System (GIS) was introduced. We got an insight to the historical development of the system. We became acquainted with the Geographic Information System and in which countries is it used for educational purposes.</w:t>
      </w:r>
      <w:r>
        <w:rPr>
          <w:color w:val="000000"/>
          <w:sz w:val="24"/>
          <w:szCs w:val="24"/>
        </w:rPr>
        <w:br/>
        <w:t xml:space="preserve">In the third part, maps were represented concerning the fauna of Transcarpathia. On these maps the arrabonicum, the height zones and the deflection of the vegetation, the phytogeographical territories of Transcarpathia were displayed. Two types of maps were available: an older and a newer one, in which we could find differences. The territory of the created maps was also calculated with the help of the Geographical Information System.</w:t>
      </w:r>
      <w:r>
        <w:rPr>
          <w:color w:val="000000"/>
          <w:sz w:val="24"/>
          <w:szCs w:val="24"/>
        </w:rPr>
        <w:br/>
        <w:t xml:space="preserve">The aims which were set at the beginning of the research were successfully accomplished. Namely, the area of Transcarpathia is represented, which can mostly be utilized in the field of education or research. We successfully digitalized the older maps, so from now on, the fauna of Transcarpathia could not just only be found in Russian or Ukrainian books or atlases, but also in Hungarian as well.</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39060">
    <w:multiLevelType w:val="hybridMultilevel"/>
    <w:lvl w:ilvl="0" w:tplc="10806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39060">
    <w:abstractNumId w:val="26139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238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