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BOCSKAI ANDRÁS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Gazdasági, Agrár- és 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Mészáros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SZIE GAEK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Belsőégésű motorok környezetvédelmi vonatkozásainak elemző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anyag a KSH adatbázisára alapozva Magyarországon a közúti közlekedésben résztvevő személygépkocsik károsanyag-kibocsátásának elemzését tartalmazza a gyártási év, futott km, és környezetvédelmi osztályba sorolás alapján. A megadott kibocsátási határértékek figyelembe vételével összehasonlítja a benzin- és dieselüzemű személygépkocsik károsanyag emisszióját a teljes személygépkocsi állományra, illetve az Euro osztályokra vonatkoztatva. A kapott eredményekből megállapításokat fogalmaz meg és következtetéseket von le a hazai személygépkocsik környezetszennyező hatására vonatkozóan.</w:t>
      </w:r>
      <w:r>
        <w:rPr>
          <w:color w:val="000000"/>
          <w:sz w:val="24"/>
          <w:szCs w:val="24"/>
        </w:rPr>
        <w:br/>
        <w:t xml:space="preserve">Kulcsszavak: személygépkocsi emisszió, környezetszennyezés, személygépkocsi állomány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531237">
    <w:multiLevelType w:val="hybridMultilevel"/>
    <w:lvl w:ilvl="0" w:tplc="67365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531237">
    <w:abstractNumId w:val="965312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67976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