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BOCSKAI </w:t>
            </w:r>
          </w:p>
          <w:p w:rsidR="00C275A3" w:rsidRDefault="00A96AEC" w:rsidP="00C275A3">
            <w:pPr>
              <w:pStyle w:val="Hallgatokepzes"/>
            </w:pPr>
            <w:r>
              <w:t>Agricultural Environmental Management Engineer</w:t>
            </w:r>
            <w:r>
              <w:br/>
            </w:r>
            <w:r w:rsidR="00E77B23">
              <w:t>BSc, 7. semester</w:t>
            </w:r>
          </w:p>
          <w:p w:rsidR="00C265CE" w:rsidRPr="009E5FF1" w:rsidRDefault="00E77B23" w:rsidP="009763E0">
            <w:pPr>
              <w:pStyle w:val="Hallgatointezmeny-kar"/>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Miklós Mészáros Dr.</w:t>
            </w:r>
          </w:p>
          <w:p w:rsidR="00DB4822" w:rsidRDefault="00DB4822" w:rsidP="009763E0">
            <w:pPr>
              <w:pStyle w:val="Konzulensektitulus"/>
            </w:pPr>
            <w:r w:rsidRPr="00DB4822">
              <w:t>associate professor, SZIE GAEK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ENVIRONMENTAL ASPECTS OF INTERNAL COMBUSTION ENGINES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pollutant emission of automobiles in Hungary is analysed according to the year of manufacture, mileage, and environmental classification based on dataset of the Central Statistical Office. Taking the specified emission limit into consideration the pollutant emission of gasoline and diesel-powered passenger cars is compared for both the entire automobile stocks and related to Euro classes. The results were used to formulate findings and conclusions about the polluting effect of the domestic passenger cars.</w:t>
      </w:r>
      <w:r>
        <w:rPr>
          <w:color w:val="000000"/>
          <w:sz w:val="24"/>
          <w:szCs w:val="24"/>
        </w:rPr>
        <w:br/>
        <w:t xml:space="preserve">Keywords: automobile emissions, pollution, automobile stocks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06015">
    <w:multiLevelType w:val="hybridMultilevel"/>
    <w:lvl w:ilvl="0" w:tplc="76176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06015">
    <w:abstractNumId w:val="617060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00215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