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BENŐ</w:t>
            </w:r>
          </w:p>
          <w:p w:rsidR="00C275A3" w:rsidRDefault="00A96AEC" w:rsidP="00C275A3">
            <w:pPr>
              <w:pStyle w:val="Hallgatokepzes"/>
            </w:pPr>
            <w:r>
              <w:t>Agribusiness and Rural Development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Georgikon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István Sisák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Digitizing a nation-wide soil map, its publication on the Georgikon map server and utilization to compile az integrated soil map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Digital maps has been developed tremenduously for the last decades and a wide variety of spatial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statistic tools has been evolved. The recent new demand on detailed soil data cannot be satisfied by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existing maps neither in Hungary nor in the developed countries.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are a few nationwide soil maps for Hungary but the most deailed albeit he oldest one has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been digitied yet. Thus, its digitization was our first objective. In the first step, we produced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polyline map, then corrected and deleted the unnecessary lines and converted the data into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polygons. We sampled the original raster in each polygons and classified the colour information.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slope angle of the lines was used to recognize fill patterns. The mapd data base contained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relatively few errors after this procedure. These were selected with an algorithm and corrected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hand. We have published the raster and polygon versions of the agricultural soil map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Hungary (Mattyasovszky, Görög and Stefanovits; 1953) int he Georgikon Map Server (http://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map.georgikon.hu).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intersected the digitized map and two other soil maps, the geologiocal map, the CORINE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database and the polygon version of the digital elevation model (elevation, slope) for a 266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sqkm study area at Keszthely and we got more than 50 thousand polygons. The classes of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seven original maps resulted in more than 14 thousand class-combinations. We have calculated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probability variable which show how the area of a given class-combination related to the theoretical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area. Theoretical area was calculated assuming area-related probabilities of the original categories.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 logarithm of the variabe had normal distribution. We used CHAID method to classify the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polygons into homogenous classes and we got 19, 45 and 76 final nodes with two, three and four-</w:t>
      </w:r>
      <w:r>
        <w:rPr>
          <w:color w:val="000000"/>
          <w:sz w:val="24"/>
          <w:szCs w:val="24"/>
        </w:rPr>
        <w:br/>
        <w:t xml:space="preserve">level classification. By interpreting he groups, a much more detailed soil map was produced than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original ones. The strongest classifier was the genetic soil map (1984) but all other variables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were included at lower levels.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20119">
    <w:multiLevelType w:val="hybridMultilevel"/>
    <w:lvl w:ilvl="0" w:tplc="40029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20119">
    <w:abstractNumId w:val="44320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956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