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LŐRINC TELKES</w:t>
            </w:r>
          </w:p>
          <w:p w:rsidR="00C275A3" w:rsidRDefault="00A96AEC" w:rsidP="00C275A3">
            <w:pPr>
              <w:pStyle w:val="Hallgatokepzes"/>
            </w:pPr>
            <w:r>
              <w:t>Pharmaceutical Chemical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phase transfer properties of nanofiber supported chiral phase transfer catalysts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Chiral phase transfer catalysis; Supported catalyst; Nanotechnology; Electrospinning; Asymmetric Michael-addition</w:t>
      </w:r>
      <w:r>
        <w:t xml:space="preserve"/>
      </w:r>
    </w:p>
    <w:p>
      <w:pPr>
        <w:widowControl w:val="on"/>
        <w:pBdr/>
        <w:spacing w:before="240" w:after="240" w:line="240" w:lineRule="auto"/>
        <w:ind w:left="0" w:right="0"/>
        <w:jc w:val="left"/>
      </w:pPr>
      <w:r>
        <w:rPr>
          <w:color w:val="000000"/>
          <w:sz w:val="24"/>
          <w:szCs w:val="24"/>
        </w:rPr>
        <w:t xml:space="preserve">In the 21st century, pharmaceutical industry aims for synthesizing enantiomer clean substances, e.g. with enantioselective catalysts. Beyond their phase transfer properties, chiral crown ethers can trigger asymmetric induction in certain reactions, but their recovery and reuse is not yet solved, despite the cost and the difficulty of their synthesis. Anchoring the phase-transfer catalysts to solid support would solve the problem of their recovery, thus enabling their general spread.</w:t>
      </w:r>
    </w:p>
    <w:p>
      <w:pPr>
        <w:widowControl w:val="on"/>
        <w:pBdr/>
        <w:spacing w:before="240" w:after="240" w:line="240" w:lineRule="auto"/>
        <w:ind w:left="0" w:right="0"/>
        <w:jc w:val="left"/>
      </w:pPr>
      <w:r>
        <w:rPr>
          <w:color w:val="000000"/>
          <w:sz w:val="24"/>
          <w:szCs w:val="24"/>
        </w:rPr>
        <w:t xml:space="preserve">The study had two main goals. The first was to synthesize an inert, nanofiber structured catalyst support with high specific surface area, which is yet easy to handle and filter. The other goal was to covalently bind two different, chiral, α-D-glucose based phase transfer catalysts on the surface of this support.</w:t>
      </w:r>
    </w:p>
    <w:p>
      <w:pPr>
        <w:widowControl w:val="on"/>
        <w:pBdr/>
        <w:spacing w:before="240" w:after="240" w:line="240" w:lineRule="auto"/>
        <w:ind w:left="0" w:right="0"/>
        <w:jc w:val="left"/>
      </w:pPr>
      <w:r>
        <w:rPr>
          <w:color w:val="000000"/>
          <w:sz w:val="24"/>
          <w:szCs w:val="24"/>
        </w:rPr>
        <w:t xml:space="preserve">The synthesis of the silica nanofibers was carried out with policondensation, the support was produced with electrospinning technique. The optical and scanning electonmicroscopic images of the samples showed nanofibrous structure. The samples were also analyzed with IR and X-ray photoelectron spectroscopy (XPS). The fibers can be filtered, and they swell in water and certain organic solvents. This fulfills the long-term aim, which is to use the supported catalysts in solid-liquid-liquid three phased reactions. Besides this, the synthesis of the fibers was optimized, considering multiple parameters, and from the results the optimal reaction time of the policondensation was found out.</w:t>
      </w:r>
    </w:p>
    <w:p>
      <w:pPr>
        <w:widowControl w:val="on"/>
        <w:pBdr/>
        <w:spacing w:before="240" w:after="240" w:line="240" w:lineRule="auto"/>
        <w:ind w:left="0" w:right="0"/>
        <w:jc w:val="left"/>
      </w:pPr>
      <w:r>
        <w:rPr>
          <w:color w:val="000000"/>
          <w:sz w:val="24"/>
          <w:szCs w:val="24"/>
        </w:rPr>
        <w:t xml:space="preserve">The silanol groups of the silica nanofibers were modified in order to form reactive functional groups on the surface of the support. The modification was detected with XPS. A crown ether was synthesized and analyzed with NMR spectroscopy and mass spectrometry (MS), characterized by specific rotation. In the bindig reaction, the crown compound was to react with the surface functional groups of the support.</w:t>
      </w:r>
    </w:p>
    <w:p>
      <w:pPr>
        <w:widowControl w:val="on"/>
        <w:pBdr/>
        <w:spacing w:before="240" w:after="240" w:line="240" w:lineRule="auto"/>
        <w:ind w:left="0" w:right="0"/>
        <w:jc w:val="left"/>
      </w:pPr>
      <w:r>
        <w:rPr>
          <w:color w:val="000000"/>
          <w:sz w:val="24"/>
          <w:szCs w:val="24"/>
        </w:rPr>
        <w:t xml:space="preserve">Another macrocycle with similar properties was modified. The samples were analyzed with NMR spectroscopy and MS, and characterized by specific rotation. In this case, the modified crown ether was able to directly react with the surface silanol groups of the original fibers. XPS spectra confirmed that the reaction was successful.</w:t>
      </w:r>
    </w:p>
    <w:p>
      <w:pPr>
        <w:widowControl w:val="on"/>
        <w:pBdr/>
        <w:spacing w:before="240" w:after="240" w:line="240" w:lineRule="auto"/>
        <w:ind w:left="0" w:right="0"/>
        <w:jc w:val="left"/>
      </w:pPr>
      <w:r>
        <w:rPr>
          <w:color w:val="000000"/>
          <w:sz w:val="24"/>
          <w:szCs w:val="24"/>
        </w:rPr>
        <w:t xml:space="preserve">The phase transfer properties of the immobilized crown ethers were studied in model reactions. Significant enantiomer excess (ee%) values were observed in Michael-reactions. The enantiomer excess was measured with specific rotation and chiral HPLC.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86186">
    <w:multiLevelType w:val="hybridMultilevel"/>
    <w:lvl w:ilvl="0" w:tplc="61146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86186">
    <w:abstractNumId w:val="28386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394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