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TAMÁS</w:t>
            </w:r>
          </w:p>
          <w:p w:rsidR="00C275A3" w:rsidRDefault="00A96AEC" w:rsidP="00C275A3">
            <w:pPr>
              <w:pStyle w:val="Hallgatokepzes"/>
            </w:pPr>
            <w:r>
              <w:t>Gyógyszervegyész-mérnöki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Kalaus György</w:t>
            </w:r>
          </w:p>
          <w:p w:rsidR="00DB4822" w:rsidRDefault="00DB4822" w:rsidP="00E11062">
            <w:pPr>
              <w:pStyle w:val="Konzulensek"/>
            </w:pPr>
            <w:r w:rsidRPr="00DB4822">
              <w:t>professzor emeritusz,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Kísérletek az aszpidoszpermánváz enantioszelektív felépítésére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szerves; szintetikus; alkaloid; enantioszelektív; terpén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BME Szerves Kémia és Technológia Tanszékén működő alkaloidkémiai kutatócsoportban az 1990-es évek eleje óta foglalkoznak aszpidoszpermán- és pszeudoaszpidoszpermánvázas alkaloidok előállításával. Konvergens szintézisük szubsztrátjaként olyan triptamin-származékot alkalmaznak, mely megfelelően kiépített aldehidekkel vagy aldehid-ekvivalensekkel reagáltatva az említett alkaloidok D-szeko képviselőit szolgáltatja. Dolgozatom tárgya az említett szintézisstratégia módosítása úgy, hogy az enantioszelektív szintézis megvalósítására is alkalmas legyen.</w:t>
      </w:r>
      <w:r>
        <w:rPr>
          <w:color w:val="000000"/>
          <w:sz w:val="24"/>
          <w:szCs w:val="24"/>
        </w:rPr>
        <w:br/>
        <w:t xml:space="preserve">Munkám során a 28-ból előállítottam a racém molekulákat eredményező szintézissor kulcsintermedierjéből levezethető (-)-63-mat és a (+)-64-et, melyeket a 15 aldehiddel reagáltatattam és eljutottam a 66a-d illetve a 68a-d diasztereomerekhez. Az NMR-spektroszkópiás vizsgálatok alapján mind a négy diasztereomerelegy esetében 1:1 aránytól eltérő diasztereomerarányt állapítottunk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4464000" cy="2829600"/>
            <wp:docPr id="85311185" name="name154ad9e7655643" descr="imgtmp_24915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4915_hu_1.JPG"/>
                    <pic:cNvPicPr/>
                  </pic:nvPicPr>
                  <pic:blipFill>
                    <a:blip r:embed="rId154ad9e76555e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28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16606">
    <w:multiLevelType w:val="hybridMultilevel"/>
    <w:lvl w:ilvl="0" w:tplc="24510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16606">
    <w:abstractNumId w:val="98416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899086" Type="http://schemas.openxmlformats.org/officeDocument/2006/relationships/numbering" Target="numbering.xml"/><Relationship Id="rId154ad9e76555ef" Type="http://schemas.openxmlformats.org/officeDocument/2006/relationships/image" Target="media/imgrId154ad9e76555ef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