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FIDESZ</w:t>
            </w:r>
          </w:p>
          <w:p w:rsidR="00C275A3" w:rsidRDefault="00A96AEC" w:rsidP="00C275A3">
            <w:pPr>
              <w:pStyle w:val="Hallgatokepzes"/>
            </w:pPr>
            <w:r>
              <w:t>teacher of economics (finance and accounting)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JUDIT SZONDA</w:t>
            </w:r>
          </w:p>
          <w:p w:rsidR="00DB4822" w:rsidRDefault="00C275A3" w:rsidP="004D7940">
            <w:pPr>
              <w:pStyle w:val="Hallgatokepzes"/>
            </w:pPr>
            <w:r>
              <w:t>teacher of economics (finance and accounting)</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Tibor Szalóki</w:t>
            </w:r>
          </w:p>
          <w:p w:rsidR="00DB4822" w:rsidRDefault="00DB4822" w:rsidP="00E11062">
            <w:pPr>
              <w:pStyle w:val="Konzulensek"/>
            </w:pPr>
            <w:r w:rsidRPr="00DB4822">
              <w:t>professor's assintant, BME</w:t>
            </w:r>
          </w:p>
        </w:tc>
      </w:tr>
      <w:tr w:rsidR="00DB4822" w:rsidTr="00DB4822">
        <w:tc>
          <w:tcPr>
            <w:tcW w:w="9854" w:type="dxa"/>
          </w:tcPr>
          <w:p w:rsidR="00DB4822" w:rsidRPr="00DB4822" w:rsidRDefault="00DB4822" w:rsidP="004D7940">
            <w:pPr>
              <w:pStyle w:val="Konzulensek"/>
            </w:pPr>
            <w:r w:rsidRPr="00DB4822">
              <w:t>Dr. György Molnár</w:t>
            </w:r>
          </w:p>
          <w:p w:rsidR="00DB4822" w:rsidRDefault="00DB4822" w:rsidP="00E11062">
            <w:pPr>
              <w:pStyle w:val="Konzulensek"/>
            </w:pPr>
            <w:r w:rsidRPr="00DB4822">
              <w:t>associate professor,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to Accounting: Improving curriculum segments through mindmaps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current practice of the education of accounting is to get from understanding tons of detailed rules and concepts to effectively creating accounting reports based on compiled data. Our experience with providing various, higher level practical and professional accounting courses led us to believe that this path is quite bumpy, too theoretical and abstract for students to systematically grasp these concepts. However for precise accounting it is vital to think systematically, understand dependencies and apply appropriate regulations and methods.</w:t>
      </w:r>
    </w:p>
    <w:p>
      <w:pPr>
        <w:widowControl w:val="on"/>
        <w:pBdr/>
        <w:spacing w:before="240" w:after="240" w:line="240" w:lineRule="auto"/>
        <w:ind w:left="0" w:right="0"/>
        <w:jc w:val="left"/>
      </w:pPr>
      <w:r>
        <w:rPr>
          <w:color w:val="000000"/>
          <w:sz w:val="24"/>
          <w:szCs w:val="24"/>
        </w:rPr>
        <w:t xml:space="preserve">Understanding all the above, in this TDK paper we’ll first introduce current educational practices along with their weaknesses and then we’ll present our proposed, systematic solution for accounting education. This method relies on close cooperation with students and helps them understand various company processes and their impact on finances and reports by examining their own and their families’ first hand experience with money and budgeting. This process is going to help them undertand all segments of accounting procedures and both their internal and external relevances. Our paper will also use presentations and tasks that provide educational support.</w:t>
      </w:r>
    </w:p>
    <w:p>
      <w:pPr>
        <w:widowControl w:val="on"/>
        <w:pBdr/>
        <w:spacing w:before="240" w:after="240" w:line="240" w:lineRule="auto"/>
        <w:ind w:left="0" w:right="0"/>
        <w:jc w:val="left"/>
      </w:pPr>
      <w:r>
        <w:rPr>
          <w:color w:val="000000"/>
          <w:sz w:val="24"/>
          <w:szCs w:val="24"/>
        </w:rPr>
        <w:t xml:space="preserve">In this paper we only focus on a niche segment of introductory accounting studies that plays a critical role from a higher level education standpoint. It is our opinion that this approach will also help students establish an economics oriented thinking.</w:t>
      </w:r>
    </w:p>
    <w:p>
      <w:pPr>
        <w:widowControl w:val="on"/>
        <w:pBdr/>
        <w:spacing w:before="240" w:after="240" w:line="240" w:lineRule="auto"/>
        <w:ind w:left="0" w:right="0"/>
        <w:jc w:val="left"/>
      </w:pPr>
      <w:r>
        <w:rPr>
          <w:color w:val="000000"/>
          <w:sz w:val="24"/>
          <w:szCs w:val="24"/>
        </w:rPr>
        <w:t xml:space="preserve">Furthermore we’ll examine current practices of teaching accounting in given public educational centres and vocational financial accountant courses. In our experience this is the subject that causes the most trouble for students and we believe this can’t just be explained be the materials’ difficulty or their willingness to learn. As teaching professionals with significant accounting milage, our experience helped us search for solutions to improve current practices of accounting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98338">
    <w:multiLevelType w:val="hybridMultilevel"/>
    <w:lvl w:ilvl="0" w:tplc="28208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98338">
    <w:abstractNumId w:val="95698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095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