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JAKAB DOROTTYA</w:t>
            </w:r>
          </w:p>
          <w:p w:rsidR="00C275A3" w:rsidRDefault="00A96AEC" w:rsidP="00C275A3">
            <w:pPr>
              <w:pStyle w:val="Hallgatokepzes"/>
            </w:pPr>
            <w:r>
              <w:t>Környezetmérnöki</w:t>
            </w:r>
            <w:r>
              <w:br/>
            </w:r>
            <w:r w:rsidR="00E77B23">
              <w:t>BSc, 5.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KASPERKIEVICZ KINGA</w:t>
            </w:r>
          </w:p>
          <w:p w:rsidR="00DB4822" w:rsidRDefault="00C275A3" w:rsidP="004D7940">
            <w:pPr>
              <w:pStyle w:val="Hallgatokepzes"/>
            </w:pPr>
            <w:r>
              <w:t>Környezetmérnöki</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Vegyészmérnöki és Biomérnöki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Péterné Dr. Baranyi Rita</w:t>
            </w:r>
          </w:p>
          <w:p w:rsidR="00DB4822" w:rsidRDefault="00DB4822" w:rsidP="00BA6BAF">
            <w:pPr>
              <w:pStyle w:val="Konzulensektitulus"/>
            </w:pPr>
            <w:r w:rsidRPr="00DB4822">
              <w:t>Egyetemi adjunktus, BME GTK</w:t>
            </w:r>
          </w:p>
        </w:tc>
      </w:tr>
      <w:tr w:rsidR="00DB4822" w:rsidTr="00DB4822">
        <w:tc>
          <w:tcPr>
            <w:tcW w:w="9854" w:type="dxa"/>
          </w:tcPr>
          <w:p w:rsidR="00DB4822" w:rsidRPr="00DB4822" w:rsidRDefault="00DB4822" w:rsidP="00BA6BAF">
            <w:pPr>
              <w:pStyle w:val="Konzulenseknev"/>
            </w:pPr>
            <w:r w:rsidRPr="00DB4822">
              <w:t>Pomucz Boglárka</w:t>
            </w:r>
          </w:p>
          <w:p w:rsidR="00DB4822" w:rsidRDefault="00DB4822" w:rsidP="00BA6BAF">
            <w:pPr>
              <w:pStyle w:val="Konzulensektitulus"/>
            </w:pPr>
            <w:r w:rsidRPr="00DB4822">
              <w:t>PhD hallgató,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BME Zöld Tanszék - A Környezetgazdaságtan Tanszék környezeti teljesítményének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környezeti teljesítményértékelés; zöld iroda program; öko-térképezés</w:t>
      </w:r>
      <w:r>
        <w:t xml:space="preserve"/>
      </w:r>
    </w:p>
    <w:p>
      <w:pPr>
        <w:widowControl w:val="on"/>
        <w:pBdr/>
        <w:spacing w:before="240" w:after="240" w:line="240" w:lineRule="auto"/>
        <w:ind w:left="0" w:right="0"/>
        <w:jc w:val="left"/>
      </w:pPr>
      <w:r>
        <w:rPr>
          <w:color w:val="000000"/>
          <w:sz w:val="24"/>
          <w:szCs w:val="24"/>
        </w:rPr>
        <w:t xml:space="preserve">Az Egyetemünkön működő egyik öntevékeny kör kiemelt programja egy olyan Verseny évenkénti megrendezése, amely az Egyetem tanszékeinek és egyéb szervezeti egységeinek környezeti teljesítményét veti össze egy környezeti teljesítmény indikátorokat is tartalmazó értékelő táblázat segítségével. Dolgozatunk kiindulópontjaként Egyetemünk egyik Tanszékének a Versenybe való becsatlakozása szolgált. Kutatómunkánk során az adott Tanszék környezeti teljesítményét mértük fel a Verseny kiírt értékelőrendszere, megalapozó és indikátor módszerek, valamint a környezetmenedzsment szakirodalom alapján. Emellett javaslatot tettünk a Tanszék mindennapi működésének "zöldítésére", melynek kapcsán vizsgáltuk a zöld iroda programokat hazai és külföldi viszonylatban egyaránt.</w:t>
      </w:r>
      <w:r>
        <w:rPr>
          <w:color w:val="000000"/>
          <w:sz w:val="24"/>
          <w:szCs w:val="24"/>
        </w:rPr>
        <w:br/>
        <w:t xml:space="preserve">Munkánk során elvégeztük a Verseny szempontrendszerének felülvizsgálatát annak vonatkozásában, hogy az értékelőrendszer kellően felméri-e a szervezeti egységek működésének környezetre gyakorolt hatásait. A Tanszék környezeti teljesítményének értékelését a Verseny szempontrendszere és a Versenyhez illeszkedő, általunk kidolgozott kulcsindikátorok alapján hajtottuk végre. Az általunk elvégzett öko-térképezés és az ezt kiegészítő környezeti időjárás jelentés a meglévő jó gyakorlatokon túl rámutatott a Tanszék környezeti szempontból problémás területeire is. Ezek kezelésére tettünk javaslatokat, amiket számításokkal és gyakorlati példákkal igyekeztünk alátámasztani. Célunk ezzel a Tanszék Versenyben való eredményes szereplésének elősegítése, az egyetemi környezet fenntarthatóbbá tétele, illetve a környezettudatos szemlélet beépítése a mindennapokba.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69822">
    <w:multiLevelType w:val="hybridMultilevel"/>
    <w:lvl w:ilvl="0" w:tplc="54322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69822">
    <w:abstractNumId w:val="464698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778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