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QUITTNER</w:t>
            </w:r>
          </w:p>
          <w:p w:rsidR="00C275A3" w:rsidRDefault="00A96AEC" w:rsidP="00C275A3">
            <w:pPr>
              <w:pStyle w:val="Hallgatokepzes"/>
            </w:pPr>
            <w:r>
              <w:t>Applied Economics</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Zsombor Ligeti</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Macroeconomic effects of the Hungarian Lending for Growth Scheme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policy; unconventional measures; Lending for Growth Scheme</w:t>
      </w:r>
      <w:r>
        <w:t xml:space="preserve"/>
      </w:r>
    </w:p>
    <w:p>
      <w:pPr>
        <w:widowControl w:val="on"/>
        <w:pBdr/>
        <w:spacing w:before="240" w:after="240" w:line="240" w:lineRule="auto"/>
        <w:ind w:left="0" w:right="0"/>
        <w:jc w:val="left"/>
      </w:pPr>
      <w:r>
        <w:rPr>
          <w:color w:val="000000"/>
          <w:sz w:val="24"/>
          <w:szCs w:val="24"/>
        </w:rPr>
        <w:t xml:space="preserve">This paper tries to estimate the macroeconomic effects of the Lending for Growth Scheme, which is the main instrument of the Hungarian unconventional monetary policy. One important element of the research was to introduce the international practice of the unconventional monetary policies and to compare the Lending for Growth Scheme with the measures used by foreign central banks. According to that, the growth in the quantity of money was not proprotional to the size of the used instuments abroad, however, in Hungary the money quantity channel might play an important role in stimulating the economy. Therefore, I used a simple model to estimate both the demand and supply effects of the Lending for Growth Scheme via the money quantity channel. Based on the model I concluded that the program may have a significant positive effect in both ways. Since the stimuluses may emerge in different times, there may be increasing inflation in the short- and decreasing inflation in the long run. In addition, in the case of aggregate demand might be a trade-off across time due to the investments taken forward, This may induce a positve effects first and negative effects later. On the other hand these negative effects could be minimised by implementing the Lending for Growth Scheme gradually. Beside the expected macroeconomic effects I studied the possible risks of the program, too. First, the increasing inflation on the short run may lead to a monetary restriction raising the negative effects and the costs of the instrument. Secondly, the cost of the program may appear in the fiscal deficit, which could be a smaller but siginificant risk as well. Even though, we do not have any infomation whether a fiscal expansion with the same cost has a bigger stimulating effect on the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98993">
    <w:multiLevelType w:val="hybridMultilevel"/>
    <w:lvl w:ilvl="0" w:tplc="48435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98993">
    <w:abstractNumId w:val="16298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496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