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STAMPFEL</w:t>
            </w:r>
          </w:p>
          <w:p w:rsidR="00C275A3" w:rsidRDefault="00A96AEC" w:rsidP="00C275A3">
            <w:pPr>
              <w:pStyle w:val="Hallgatokepzes"/>
            </w:pPr>
            <w:r>
              <w:t>Economics</w:t>
            </w:r>
            <w:r>
              <w:br/>
            </w:r>
            <w:r w:rsidR="00E77B23">
              <w:t>MSc, 2.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Katalin Petró</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Banking competition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banking system;competition;Lerner-index;Industrial Organization</w:t>
      </w:r>
      <w:r>
        <w:t xml:space="preserve"/>
      </w:r>
    </w:p>
    <w:p>
      <w:pPr>
        <w:widowControl w:val="on"/>
        <w:pBdr/>
        <w:spacing w:before="240" w:after="240" w:line="240" w:lineRule="auto"/>
        <w:ind w:left="0" w:right="0"/>
        <w:jc w:val="left"/>
      </w:pPr>
      <w:r>
        <w:rPr>
          <w:color w:val="000000"/>
          <w:sz w:val="24"/>
          <w:szCs w:val="24"/>
        </w:rPr>
        <w:t xml:space="preserve">The Hungarian banking sector went through significant changes in the last couple of years due to the impact of the recent financial and economic crisis. The increase in the proportion of non-performing loans and the governmental sector specific measures led to the deterioration of the high profitability rates and increased the asymmetry between commercial banks. In my research I am dealing with the comparison of banking strategies before and after the crisis and the effects of these strategies on social welfare.</w:t>
      </w:r>
    </w:p>
    <w:p>
      <w:pPr>
        <w:widowControl w:val="on"/>
        <w:pBdr/>
        <w:spacing w:before="240" w:after="240" w:line="240" w:lineRule="auto"/>
        <w:ind w:left="0" w:right="0"/>
        <w:jc w:val="left"/>
      </w:pPr>
      <w:r>
        <w:rPr>
          <w:color w:val="000000"/>
          <w:sz w:val="24"/>
          <w:szCs w:val="24"/>
        </w:rPr>
        <w:t xml:space="preserve">The presence of appropriate level of competition is essential for efficient banking market operation. I presented the competitions possible forms, roles and influencing factors through an empirical literature review and by analyzing the main characteristic features of the Hungarian banking sector. I have shown that the transaction costs and the information asymmetry could encumber the price based competition.</w:t>
      </w:r>
    </w:p>
    <w:p>
      <w:pPr>
        <w:widowControl w:val="on"/>
        <w:pBdr/>
        <w:spacing w:before="240" w:after="240" w:line="240" w:lineRule="auto"/>
        <w:ind w:left="0" w:right="0"/>
        <w:jc w:val="left"/>
      </w:pPr>
      <w:r>
        <w:rPr>
          <w:color w:val="000000"/>
          <w:sz w:val="24"/>
          <w:szCs w:val="24"/>
        </w:rPr>
        <w:t xml:space="preserve">The result of the panel estimates with the National Bank of Hungary’s supervisory database have shown monopolistic competition in the observed period (2001-2012), which could be described by the cost and risk based competition before, and by the increasing asymmetry after the crisis. The asymmetry between banks is correlated with the bank’s current lending activity, which strengthened the sector consolidation process.</w:t>
      </w:r>
    </w:p>
    <w:p>
      <w:pPr>
        <w:widowControl w:val="on"/>
        <w:pBdr/>
        <w:spacing w:before="240" w:after="240" w:line="240" w:lineRule="auto"/>
        <w:ind w:left="0" w:right="0"/>
        <w:jc w:val="left"/>
      </w:pPr>
      <w:r>
        <w:rPr>
          <w:color w:val="000000"/>
          <w:sz w:val="24"/>
          <w:szCs w:val="24"/>
        </w:rPr>
        <w:t xml:space="preserve">I think we do not have to expect the strengthening of the competition between the banks only from the structural changes. Instead we should focus more on establishing financial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53549">
    <w:multiLevelType w:val="hybridMultilevel"/>
    <w:lvl w:ilvl="0" w:tplc="41452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53549">
    <w:abstractNumId w:val="83453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4072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