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NAGY</w:t>
            </w:r>
          </w:p>
          <w:p w:rsidR="00C275A3" w:rsidRDefault="00A96AEC" w:rsidP="00C275A3">
            <w:pPr>
              <w:pStyle w:val="Hallgatokepzes"/>
            </w:pPr>
            <w:r>
              <w:t>Applied mathematics</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Mihaly Ormos</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Pairs trading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pairs trading, cointegration, statistical arbitrage, market neutral strategy</w:t>
      </w:r>
      <w:r>
        <w:t xml:space="preserve"/>
      </w:r>
    </w:p>
    <w:p>
      <w:pPr>
        <w:widowControl w:val="on"/>
        <w:pBdr/>
        <w:spacing w:before="240" w:after="240" w:line="240" w:lineRule="auto"/>
        <w:ind w:left="0" w:right="0"/>
        <w:jc w:val="left"/>
      </w:pPr>
      <w:r>
        <w:rPr>
          <w:color w:val="000000"/>
          <w:sz w:val="24"/>
          <w:szCs w:val="24"/>
        </w:rPr>
        <w:t xml:space="preserve">The main goal of the study is to find a device that characterises the market incompleteness and to use this to compare different markets. In certain markets the yields achieved by Pairs Trading arbitrage strategy were analysed and conclusions were drawn from these results regarding the market incompleteness.</w:t>
      </w:r>
    </w:p>
    <w:p>
      <w:pPr>
        <w:widowControl w:val="on"/>
        <w:pBdr/>
        <w:spacing w:before="240" w:after="240" w:line="240" w:lineRule="auto"/>
        <w:ind w:left="0" w:right="0"/>
        <w:jc w:val="left"/>
      </w:pPr>
      <w:r>
        <w:rPr>
          <w:color w:val="000000"/>
          <w:sz w:val="24"/>
          <w:szCs w:val="24"/>
        </w:rPr>
        <w:t xml:space="preserve">The main aspects to evaluate the results are the investigation of expected returns and standard deviations achieved by the strategy and the analysis of the time spent in open positions. The latter was approximated by stochastic models, while demonstrating the models’ estimation errors.</w:t>
      </w:r>
    </w:p>
    <w:p>
      <w:pPr>
        <w:widowControl w:val="on"/>
        <w:pBdr/>
        <w:spacing w:before="240" w:after="240" w:line="240" w:lineRule="auto"/>
        <w:ind w:left="0" w:right="0"/>
        <w:jc w:val="left"/>
      </w:pPr>
      <w:r>
        <w:rPr>
          <w:color w:val="000000"/>
          <w:sz w:val="24"/>
          <w:szCs w:val="24"/>
        </w:rPr>
        <w:t xml:space="preserve">In addition of an examination of the pairs, a more comprehensive study of the market was allowed by constructing portfolios. Not only the diversification of the portfolios is an important aspect, but also the stability of them. That is to say, the pairs contained by the portfolio should be highly cointegrated, and stationary.</w:t>
      </w:r>
    </w:p>
    <w:p>
      <w:pPr>
        <w:widowControl w:val="on"/>
        <w:pBdr/>
        <w:spacing w:before="240" w:after="240" w:line="240" w:lineRule="auto"/>
        <w:ind w:left="0" w:right="0"/>
        <w:jc w:val="left"/>
      </w:pPr>
      <w:r>
        <w:rPr>
          <w:color w:val="000000"/>
          <w:sz w:val="24"/>
          <w:szCs w:val="24"/>
        </w:rPr>
        <w:t xml:space="preserve">In this research we compared the Euro zone countries that joined the European Unionbefore 2002 with the ones joining after 2002 based on the factors affecting the reliability and the effectiveness of the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91598">
    <w:multiLevelType w:val="hybridMultilevel"/>
    <w:lvl w:ilvl="0" w:tplc="67445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91598">
    <w:abstractNumId w:val="84791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08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