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KÁLMÁN TUNKLI</w:t>
            </w:r>
          </w:p>
          <w:p w:rsidR="00C275A3" w:rsidRDefault="00A96AEC" w:rsidP="00C275A3">
            <w:pPr>
              <w:pStyle w:val="Hallgatokepzes"/>
            </w:pPr>
            <w:r>
              <w:t>Finance</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Bota</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Slippery prices on the oil market- The effect of oil price volatility on capital market returns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Oil; multi-faktor models; risk</w:t>
      </w:r>
      <w:r>
        <w:t xml:space="preserve"/>
      </w:r>
    </w:p>
    <w:p>
      <w:pPr>
        <w:widowControl w:val="on"/>
        <w:pBdr/>
        <w:spacing w:before="240" w:after="240" w:line="240" w:lineRule="auto"/>
        <w:ind w:left="0" w:right="0"/>
        <w:jc w:val="left"/>
      </w:pPr>
      <w:r>
        <w:rPr>
          <w:color w:val="000000"/>
          <w:sz w:val="24"/>
          <w:szCs w:val="24"/>
        </w:rPr>
        <w:t xml:space="preserve">Oil is one of the most important commodities today, the price fluctuations of which influence countless other economic factors. In this paper I seek to answer the question: can we observe a relationship between oil shocks and resulting commodity price volatility and various elements of the stock market. Naturally, this relationship is strongest for companies with a direct interest in the oil industry. In my study, I conduct a multi-factor analysis to measure the strength of the relationship and to select the most significant factors, particularly those that describe the systematic risk of the company. As an introduction to the paper I outline the theoretical background, starting with a simple one factor model, and ending with the more complex multi-factor models. The paper then proceeds to demonstrate two empirical studies first is for small sample and the second is for all the oil and gas companies in Europe. In the first study I start by testing the Northern European countries step by step to show how the empirical modelling built up. At the second empirical study the dataset consist of 60 European oil and gas company. In the portfolio 39 companies representing developed Western European countries and 21 from Central and Eastern Europe. Regressions were run for the following market equilibrium models: standard CAPM, Fama-French three-factor model, Carhart four-factor model and Pastor-Stambaugh five-factor model and extend all the models with the oil price as well. I also distinct different situations regarding the movement of general market prices, and oil price as well to build up a regime dependent model. The calculations are based on monthly returns between 2000-2012.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11988">
    <w:multiLevelType w:val="hybridMultilevel"/>
    <w:lvl w:ilvl="0" w:tplc="34539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11988">
    <w:abstractNumId w:val="17711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423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