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VERMES</w:t>
            </w:r>
          </w:p>
          <w:p w:rsidR="00C275A3" w:rsidRDefault="00A96AEC" w:rsidP="00C275A3">
            <w:pPr>
              <w:pStyle w:val="Hallgatokepzes"/>
            </w:pPr>
            <w:r>
              <w:t>Vehicle Engineer</w:t>
            </w:r>
            <w:r>
              <w:br/>
            </w:r>
            <w:r w:rsidR="00E77B23">
              <w:t>BSc, 7. semester</w:t>
            </w:r>
          </w:p>
          <w:p w:rsidR="00C265CE" w:rsidRPr="009E5FF1" w:rsidRDefault="00E77B23" w:rsidP="009763E0">
            <w:pPr>
              <w:pStyle w:val="Hallgatointezmeny-kar"/>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Árpád Veress</w:t>
            </w:r>
          </w:p>
          <w:p w:rsidR="00DB4822" w:rsidRDefault="00DB4822" w:rsidP="009763E0">
            <w:pPr>
              <w:pStyle w:val="Konzulensektitulus"/>
            </w:pPr>
            <w:r w:rsidRPr="00DB4822">
              <w:t>associate professor,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Inverse design of aerofoils in compressible flows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research was to develop an inverse airfoil design method for compressible flows that results stall secure geometries for arbitrary lift and drag coefficient demands. Beyond its obvious applicability in wing and rotor design airfoils are elementary parameters of propellers and jet engine blades as well, nevertheless, they are almost ubiquitous in the entire vehicle industry. Results of this paper can be applied for designing adjustable wings for the BME Formula Racing Team's car in 2014. In order to determine a pressure gradient that could best satisfy the above-mentioned requirements a MATLAB code based on Stratford's and Sasman-Cresci's results was developed. A software (DASFLOW), originally developed at the department was applied for the inverse design method. Further applicability of results could be on the field of experimental plane design. Such aircraft with the ability of constant profile-adaptation control would be faster and greener with advanced maneuverability and lower fuel consumption than those of our age.</w:t>
      </w:r>
    </w:p>
    <w:p>
      <w:pPr>
        <w:widowControl w:val="on"/>
        <w:pBdr/>
        <w:spacing w:before="240" w:after="240" w:line="240" w:lineRule="auto"/>
        <w:ind w:left="0" w:right="0"/>
        <w:jc w:val="left"/>
      </w:pPr>
      <w:r>
        <w:rPr>
          <w:color w:val="000000"/>
          <w:sz w:val="24"/>
          <w:szCs w:val="24"/>
        </w:rPr>
        <w:br/>
        <w:t xml:space="preserve">Key words: airfoil, inverse design, Stratford, pressure gradient, compressible flow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771771">
    <w:multiLevelType w:val="hybridMultilevel"/>
    <w:lvl w:ilvl="0" w:tplc="352839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771771">
    <w:abstractNumId w:val="767717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61298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