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STRELICZ ANDREA</w:t>
            </w:r>
          </w:p>
          <w:p w:rsidR="00C275A3" w:rsidRDefault="00A96AEC" w:rsidP="00C275A3">
            <w:pPr>
              <w:pStyle w:val="Hallgatokepzes"/>
            </w:pPr>
            <w:r>
              <w:t>Master of Business Adminstration</w:t>
            </w:r>
            <w:r>
              <w:br/>
            </w:r>
            <w:r w:rsidR="00E77B23">
              <w:t>MA, 3. félév</w:t>
            </w:r>
          </w:p>
          <w:p w:rsidR="00C265CE" w:rsidRPr="009E5FF1" w:rsidRDefault="00E77B23" w:rsidP="00BA6BAF">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Kosztyán Zsolt Tibor</w:t>
            </w:r>
          </w:p>
          <w:p w:rsidR="00DB4822" w:rsidRDefault="00DB4822" w:rsidP="00BA6BAF">
            <w:pPr>
              <w:pStyle w:val="Konzulensektitulus"/>
            </w:pPr>
            <w:r w:rsidRPr="00DB4822">
              <w:t>egyetemi docens,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kockázatirányítás új dimenziói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kockázat; vállalatirányítás; Ishikawa; FMEA; projekt kockázat</w:t>
      </w:r>
      <w:r>
        <w:t xml:space="preserve"/>
      </w:r>
    </w:p>
    <w:p>
      <w:pPr>
        <w:widowControl w:val="on"/>
        <w:pBdr/>
        <w:spacing w:before="240" w:after="240" w:line="240" w:lineRule="auto"/>
        <w:ind w:left="0" w:right="0"/>
        <w:jc w:val="left"/>
      </w:pPr>
      <w:r>
        <w:rPr>
          <w:color w:val="000000"/>
          <w:sz w:val="24"/>
          <w:szCs w:val="24"/>
        </w:rPr>
        <w:t xml:space="preserve">Napjainkban a kockázatirányítás egyre nagyobb hangsúlyt kap. A Vállalatok számára a működés és fejlődés biztosítása érdekében az lenne a szerencsés, ha minden lehetséges esemény a vállalat életében előre ismert lehetne, és a veszteséget okozó események, jelenségek, és hatások kiküszöbölhetők lennének. Mindaddig, amíg egy vállalat életében nem következik be olyan esemény, jelenség, vagy hatás, mely eredménye veszteség, vagy kár a vállalat számára, addig csak lehetőségekről és valamilyen bekövetkezési valószínűség mellett kockázatról beszélünk.</w:t>
      </w:r>
      <w:r>
        <w:rPr>
          <w:color w:val="000000"/>
          <w:sz w:val="24"/>
          <w:szCs w:val="24"/>
        </w:rPr>
        <w:br/>
        <w:t xml:space="preserve">A jelen kutatásom célja a kockázatelemzésnek, és kockázatirányításnak egy olyan továbbfejlesztett változatainak a bemutatása, melynek a felhasználása leginkább a vállalatok irányításban, és a veszélyes objektumok telepítésében és működtetésében függően a céloktól, konkrétabb segítséget, célirányosabb fókuszt és erőforrás allokációt indikál.</w:t>
      </w:r>
      <w:r>
        <w:rPr>
          <w:color w:val="000000"/>
          <w:sz w:val="24"/>
          <w:szCs w:val="24"/>
        </w:rPr>
        <w:br/>
        <w:t xml:space="preserve">Számos szakirodalomban számos szakember foglalkozik a kockázatokkal már az ókori rómaiak óta. A modern korban a kockázatok irányításának a jelentősége előtérbe helyeződött, de a kockázatok menedzselése mégis nehézkes. A módszertani levezetésem során ennek a problémakörnek a fontosságát is kihangsúlyozom, illetve megkísérlem kezelni.</w:t>
      </w:r>
      <w:r>
        <w:rPr>
          <w:color w:val="000000"/>
          <w:sz w:val="24"/>
          <w:szCs w:val="24"/>
        </w:rPr>
        <w:br/>
        <w:t xml:space="preserve">A kutatásom leginkább a klasszikus FMEA (Failer Mode ad Effect Analysis) és a klasszikus Ishikawa diagram ötvözésének lehetőségeit ismerteti, iránymutatást ad a helyes használatra, és a vállalatot érintő kockázatok megértésére.</w:t>
      </w:r>
      <w:r>
        <w:rPr>
          <w:color w:val="000000"/>
          <w:sz w:val="24"/>
          <w:szCs w:val="24"/>
        </w:rPr>
        <w:br/>
        <w:t xml:space="preserve">A módszerek ötvözetei segítséget nyújthatnak a vállalat stratégia alkotásában, tervezésében erőforrások menedzselésében, általános működésben és stabilizálásban, optimalizálások, és racionalizálások során. A hatásokat kibontva a kockázatokat könnyebben megérthetővé és szemléletesebbé tehetjük a vállalatirányítás számára, és/vagy az okokat kibontva, az ok-hatás könnyebben érthető és leképezhető, a megelőzés hatékonyabbá tehető.</w:t>
      </w:r>
      <w:r>
        <w:rPr>
          <w:color w:val="000000"/>
          <w:sz w:val="24"/>
          <w:szCs w:val="24"/>
        </w:rPr>
        <w:br/>
        <w:t xml:space="preserve">A gyakorlati megvalósíthatóságot egy szénhidrogén monitoring és elemző rendszer telepítésére irányuló projekt esettanulmányán keresztül az okok kibontásával bemutatom. Kutatásomat az általános vállalati minőségirányítási rendszer (ISO 9001) kereteiben végzem, mivel elegendően és megfelelően kiterjedt és átfogó rendszer.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63736">
    <w:multiLevelType w:val="hybridMultilevel"/>
    <w:lvl w:ilvl="0" w:tplc="4626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63736">
    <w:abstractNumId w:val="51963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1079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