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RÉMESI</w:t>
            </w:r>
          </w:p>
          <w:p w:rsidR="00C275A3" w:rsidRDefault="00A96AEC" w:rsidP="00C275A3">
            <w:pPr>
              <w:pStyle w:val="Hallgatokepzes"/>
            </w:pPr>
            <w:r>
              <w:t>MA in Economic Analysis</w:t>
            </w:r>
            <w:r>
              <w:br/>
            </w:r>
            <w:r w:rsidR="00E77B23">
              <w:t>MA,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Judit Badics</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Price discrimination in Stackelberg competition with asymmetric firms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Price discrimination; Stackelberg oligopoly; Asymmetric firms; Welfare</w:t>
      </w:r>
      <w:r>
        <w:t xml:space="preserve"/>
      </w:r>
    </w:p>
    <w:p>
      <w:pPr>
        <w:widowControl w:val="on"/>
        <w:pBdr/>
        <w:spacing w:before="240" w:after="240" w:line="240" w:lineRule="auto"/>
        <w:ind w:left="0" w:right="0"/>
        <w:jc w:val="left"/>
      </w:pPr>
      <w:r>
        <w:rPr>
          <w:color w:val="000000"/>
          <w:sz w:val="24"/>
          <w:szCs w:val="24"/>
        </w:rPr>
        <w:t xml:space="preserve">Price discrimination is generally examined as behaviour of the monopolistic firms although this attitude is as significant in case of oligopolistic markets as well. In the recent years many publications have been published dealing with this question, however almost all of them assumed symmetric firms. Later on, publications appeared in which these assumptions have been generalized: In his article Mukherjee’s [2010] analyses the effect of third degree price discrimination under Cournot and Stackelberg competition with two different prices assuming asymmetric firms. In this paper I examine the effect of third degree price discrimination in the Stackelberg competition model for the linear demand case, with K different prices in case of asymmetric firms. The results of the model are compared with the results of the standard model. I show that the leader sells only to the high-valued and the low-valued consumer under Stackelberg competition with asymmetric firms. We will see that under certain conditions, profits and total welfare are larger and consumer surplus is smaller than those of the standard Stackelberg competition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15800">
    <w:multiLevelType w:val="hybridMultilevel"/>
    <w:lvl w:ilvl="0" w:tplc="55974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15800">
    <w:abstractNumId w:val="15615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905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