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KENÉZ</w:t>
            </w:r>
          </w:p>
          <w:p w:rsidR="00C275A3" w:rsidRDefault="00A96AEC" w:rsidP="00C275A3">
            <w:pPr>
              <w:pStyle w:val="Hallgatokepzes"/>
            </w:pPr>
            <w:r>
              <w:t>Faculty of Civil Engineering</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EVE SMITH</w:t>
            </w:r>
          </w:p>
          <w:p w:rsidR="00DB4822" w:rsidRDefault="00C275A3" w:rsidP="004D7940">
            <w:pPr>
              <w:pStyle w:val="Hallgatokepzes"/>
            </w:pPr>
            <w:r>
              <w:t>Civil engineering</w:t>
            </w:r>
            <w:r w:rsidR="00A96AEC">
              <w:br/>
              <w:t>BSc,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RÁCZ</w:t>
            </w:r>
          </w:p>
          <w:p w:rsidR="00C275A3" w:rsidRDefault="00A96AEC" w:rsidP="00C275A3">
            <w:pPr>
              <w:pStyle w:val="Hallgatokepzes"/>
            </w:pPr>
            <w:r>
              <w:t>Faculty of Civil Engineering</w:t>
            </w:r>
            <w:r>
              <w:br/>
            </w:r>
            <w:r w:rsidR="00E77B23">
              <w:t>BSc, 4.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Olivér Fenyvesi</w:t>
            </w:r>
          </w:p>
          <w:p w:rsidR="00DB4822" w:rsidRDefault="00DB4822" w:rsidP="009763E0">
            <w:pPr>
              <w:pStyle w:val="Konzulensektitulus"/>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Lightweight aggregate concrete for prefabricated bridge 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application of lightweight aggregate concrete (LWAC) becoming increasingly common both in national and international building industry. A profitable feature of structural lightweight concrete is the lower dead load. This feature is especially beneficial for bridge structures where the dead load runs up to approximately 70 percent of the whole load.</w:t>
      </w:r>
      <w:r>
        <w:rPr>
          <w:color w:val="000000"/>
          <w:sz w:val="24"/>
          <w:szCs w:val="24"/>
        </w:rPr>
        <w:br/>
        <w:t xml:space="preserve">We attempted to produce concrete mixtures which have not only high strength but have also economical and environmental advantages. For LWAC the current "rules" of the concrete mix design can be hardly used, in the available references in this topic only indirect hints of mix design are provided.</w:t>
      </w:r>
      <w:r>
        <w:rPr>
          <w:color w:val="000000"/>
          <w:sz w:val="24"/>
          <w:szCs w:val="24"/>
        </w:rPr>
        <w:br/>
        <w:t xml:space="preserve">First of all, the physical properties of the investigated lightweight aggregates (LWA) were analysed: crushing resistance, particle body density, bulk density, water absorption capacity and aggregate particle distribution. The mixtures were designed according to the test results. The variable parameters were the LWA content, and the volume of silicafume and metakaolin. Standard specimens were cast for compressive and non-standard specimens were cast for flexural-tensile strength tests at 1, 2 and 28 days age.</w:t>
      </w:r>
      <w:r>
        <w:rPr>
          <w:color w:val="000000"/>
          <w:sz w:val="24"/>
          <w:szCs w:val="24"/>
        </w:rPr>
        <w:br/>
        <w:t xml:space="preserve">Mixtures were designed with three different LWA: expanded clay, blast furnace slag and crushed clay brick. The cost of fabrication of expanded clay is high (due to firing), and its raw material is mined. The other two aggregates are recycled, as the blast furnace slag which is an industrial by-product, and the crushed clay brick which can be made of building constructional waste. In this regard we prefer the blast furnace slag and the crushed clay brick.</w:t>
      </w:r>
      <w:r>
        <w:rPr>
          <w:color w:val="000000"/>
          <w:sz w:val="24"/>
          <w:szCs w:val="24"/>
        </w:rPr>
        <w:br/>
        <w:t xml:space="preserve">The compressive strength of the mixtures containing blast furnace slag reached the highest compressive strength but the body density of the concrete was more than 2000 kg/m</w:t>
      </w:r>
      <w:r>
        <w:rPr>
          <w:color w:val="000000"/>
          <w:position w:val="4"/>
          <w:sz w:val="21"/>
          <w:szCs w:val="21"/>
          <w:vertAlign w:val="superscript"/>
        </w:rPr>
        <w:t xml:space="preserve">3</w:t>
      </w:r>
      <w:r>
        <w:rPr>
          <w:color w:val="000000"/>
          <w:sz w:val="24"/>
          <w:szCs w:val="24"/>
        </w:rPr>
        <w:t xml:space="preserve">. The expanded clay has the highest crush resistance, bulk density and particle body density, therefore the concretes made with expanded clay aggregate has the highest compressive strength compared to their body density. Crushed clay brick aggregates reached the highest water absorption capacity value, so these mixtures needed more extra water then other mixtures. All tested concrete mixtures are suitable for prefabricated structural elements.</w:t>
      </w:r>
      <w:r>
        <w:rPr>
          <w:color w:val="000000"/>
          <w:sz w:val="24"/>
          <w:szCs w:val="24"/>
        </w:rPr>
        <w:br/>
        <w:t xml:space="preserve">The aim of the present research is to demonstrate the benefits of LWAC during the construction of bridge structures, and in order to produce concrete mixtures with waste materials (brick, slag, etc.) instead of the most widely used expanded clay.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61336">
    <w:multiLevelType w:val="hybridMultilevel"/>
    <w:lvl w:ilvl="0" w:tplc="64865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61336">
    <w:abstractNumId w:val="56761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538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