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BEDROSSIAN ÁDÁM</w:t>
            </w:r>
          </w:p>
          <w:p w:rsidR="00C275A3" w:rsidRDefault="00A96AEC" w:rsidP="00C275A3">
            <w:pPr>
              <w:pStyle w:val="Hallgatokepzes"/>
            </w:pPr>
            <w:r>
              <w:t>Tervező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Kolossa József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Makrai Sándor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Otthon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egy miniatűr lakótér, mely mégis a lehetőségekhez megfelelőképpen alkalmazkodva lehetőleg, minden felmerülő emberi igényt eltud látni. Ennek a kifejtése során pedig egy egyedi és szokatlan szituációban való tervezés zajlott le. Így jött létre a Gellért vízesés fölötti híd aljára rögzített hengeres lakóegység, mely a tartószerkezetével és a híddal együtt egy absztraktabb szemmé alakul vizuálisan amely az Erzsébet híd és Rákóczi út tengelyén tekint végig a pesti oldalon.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60000" cy="1620000"/>
            <wp:docPr id="15165371" name="name1547ef0d41813c" descr="imgtmp_2523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234_hu_1.gif"/>
                    <pic:cNvPicPr/>
                  </pic:nvPicPr>
                  <pic:blipFill>
                    <a:blip r:embed="rId1547ef0d417d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belső tér, annak ellenére, hogy apró teljesen funkcionális marad a térben előtűnő és elsűlyedő bútorokkal.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60000" cy="1620000"/>
            <wp:docPr id="30424595" name="name1547ef0d418ee6" descr="imgtmp_25234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234_hu_2.gif"/>
                    <pic:cNvPicPr/>
                  </pic:nvPicPr>
                  <pic:blipFill>
                    <a:blip r:embed="rId1547ef0d418e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 filozófiájához tartozik továbbá, hogy mivel könnyű és kis egységről van szó, így a lakó igénye szerint elmozgatható lehet. Noha ez a munka erre a területre lett tervezve, más helyszínen is képes lehet megállni a helyét. Ez a tulajdonsága kissé élőlényszerűvé teheti az épületet. Hiszen van egy szülőhelye, ahol leélheti az élete hosszú részét de nem törvényszerű, hogy ugyanott lesz megtalálható mindig.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60000" cy="1620000"/>
            <wp:docPr id="48949278" name="name1547ef0d4194d8" descr="imgtmp_25234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234_hu_3.gif"/>
                    <pic:cNvPicPr/>
                  </pic:nvPicPr>
                  <pic:blipFill>
                    <a:blip r:embed="rId1547ef0d419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drawing>
          <wp:inline distT="0" distB="0" distL="0" distR="0">
            <wp:extent cx="2160000" cy="1612800"/>
            <wp:docPr id="27052387" name="name1547ef0d419a7d" descr="imgtmp_25234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234_hu_4.gif"/>
                    <pic:cNvPicPr/>
                  </pic:nvPicPr>
                  <pic:blipFill>
                    <a:blip r:embed="rId1547ef0d419a2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1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92267">
    <w:multiLevelType w:val="hybridMultilevel"/>
    <w:lvl w:ilvl="0" w:tplc="28848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92267">
    <w:abstractNumId w:val="64192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035750" Type="http://schemas.openxmlformats.org/officeDocument/2006/relationships/numbering" Target="numbering.xml"/><Relationship Id="rId1547ef0d417dd7" Type="http://schemas.openxmlformats.org/officeDocument/2006/relationships/image" Target="media/imgrId1547ef0d417dd7.gif"/><Relationship Id="rId1547ef0d418e76" Type="http://schemas.openxmlformats.org/officeDocument/2006/relationships/image" Target="media/imgrId1547ef0d418e76.gif"/><Relationship Id="rId1547ef0d419483" Type="http://schemas.openxmlformats.org/officeDocument/2006/relationships/image" Target="media/imgrId1547ef0d419483.gif"/><Relationship Id="rId1547ef0d419a2d" Type="http://schemas.openxmlformats.org/officeDocument/2006/relationships/image" Target="media/imgrId1547ef0d419a2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