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 DIÁNA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GNETH ORSOLYA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Marótzy Katalin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Megérkezés Ybl pesti bérházaiba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0"/>
          <w:szCs w:val="20"/>
        </w:rPr>
        <w:drawing>
          <wp:inline distT="0" distB="0" distL="0" distR="0">
            <wp:extent cx="4802400" cy="2044800"/>
            <wp:docPr id="76724102" name="name154cfb6f12d6c9" descr="imgtmp_25287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287_hu_1.jpg"/>
                    <pic:cNvPicPr/>
                  </pic:nvPicPr>
                  <pic:blipFill>
                    <a:blip r:embed="rId154cfb6f12d66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2400" cy="204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1"/>
          <w:szCs w:val="21"/>
        </w:rPr>
        <w:t xml:space="preserve">2014-ben ünnepeljük a magyar építőművészet egyik legnagyobb alakja, Ybl Miklós születésének 200. évfordulóját. Ez alkalomból a neves építész munkái közül választottunk témát, választásunk a kevésbé ismert bérházakra, bérpalotákra esett, ezen belül is a bejárati térsorok elemzésével foglalkoztunk. Az épületek kapui, a kapualjak, folyosók és kocsiáthajtók, lépcsőházak; a bejárati térsor kialakítása sok mindent elárul a XIX. század második felének fővárosi életmódjáról, az épületek funkcionális átalakulásairól, illetve a tervező építészeti megoldásai is rendkívül tanulságosak.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70598">
    <w:multiLevelType w:val="hybridMultilevel"/>
    <w:lvl w:ilvl="0" w:tplc="23461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70598">
    <w:abstractNumId w:val="32070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809230" Type="http://schemas.openxmlformats.org/officeDocument/2006/relationships/numbering" Target="numbering.xml"/><Relationship Id="rId154cfb6f12d66c" Type="http://schemas.openxmlformats.org/officeDocument/2006/relationships/image" Target="media/imgrId154cfb6f12d66c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