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TÓTH</w:t>
            </w:r>
          </w:p>
          <w:p w:rsidR="00C275A3" w:rsidRDefault="00A96AEC" w:rsidP="00C275A3">
            <w:pPr>
              <w:pStyle w:val="Hallgatokepzes"/>
            </w:pPr>
            <w:r>
              <w:t>-</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Benkő</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of historic districts in dense built-up areas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sustainability is one of the most debated subjects today. In relation to architecture the criteria of sustainability is mostly defined at a building level, however it is a recognized fact that the real solutions of sustainability are connected to urban context .</w:t>
      </w:r>
      <w:r>
        <w:rPr>
          <w:color w:val="000000"/>
          <w:sz w:val="24"/>
          <w:szCs w:val="24"/>
        </w:rPr>
        <w:br/>
        <w:t xml:space="preserve">In my research I will focus on the historical center of Budapest which means much more than a depreciated building stock: its real value is in its relatively homogenous and compact urban tissue. According to my assumption the sustainability of these districts lies not only in the technically adequate retrofitting of the building stock, but in their social, economic and environmental embeddedness.</w:t>
      </w:r>
      <w:r>
        <w:rPr>
          <w:color w:val="000000"/>
          <w:sz w:val="24"/>
          <w:szCs w:val="24"/>
        </w:rPr>
        <w:br/>
        <w:t xml:space="preserve">The historical center of Budapest is well "embedded" in the settlement structure of the city, the transportation is eligible and it has favourable density, while its economic and social embeddedness is not preferable, as the communities are estranged from eachother and it has a fragmentary ownership structure. In accordance programmes addressing the renewal of these districts should not concentrate only on technical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95394">
    <w:multiLevelType w:val="hybridMultilevel"/>
    <w:lvl w:ilvl="0" w:tplc="32472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95394">
    <w:abstractNumId w:val="36295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102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