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VARGA</w:t>
            </w:r>
          </w:p>
          <w:p w:rsidR="00C275A3" w:rsidRDefault="00A96AEC" w:rsidP="00C275A3">
            <w:pPr>
              <w:pStyle w:val="Hallgatokepzes"/>
            </w:pPr>
            <w:r>
              <w:t>veterinary science</w:t>
            </w:r>
            <w:r>
              <w:br/>
            </w:r>
            <w:r w:rsidR="00E77B23">
              <w:t>Unified, 11.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Lajos DVM</w:t>
            </w:r>
          </w:p>
          <w:p w:rsidR="00DB4822" w:rsidRDefault="00DB4822" w:rsidP="00E11062">
            <w:pPr>
              <w:pStyle w:val="Konzulensek"/>
            </w:pPr>
            <w:r w:rsidRPr="00DB4822">
              <w:t>veterinary microbiologyst,  DUO-BAKT Veterinary Microbiology Laboratory</w:t>
            </w:r>
          </w:p>
        </w:tc>
      </w:tr>
      <w:tr w:rsidR="00DB4822" w:rsidTr="00DB4822">
        <w:tc>
          <w:tcPr>
            <w:tcW w:w="9854" w:type="dxa"/>
          </w:tcPr>
          <w:p w:rsidR="00DB4822" w:rsidRPr="00DB4822" w:rsidRDefault="00DB4822" w:rsidP="004D7940">
            <w:pPr>
              <w:pStyle w:val="Konzulensek"/>
            </w:pPr>
            <w:r w:rsidRPr="00DB4822">
              <w:t>Noémi Tarpataki DVM</w:t>
            </w:r>
          </w:p>
          <w:p w:rsidR="00DB4822" w:rsidRDefault="00DB4822" w:rsidP="00E11062">
            <w:pPr>
              <w:pStyle w:val="Konzulensek"/>
            </w:pPr>
            <w:r w:rsidRPr="00DB4822">
              <w:t>assistant professor,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Microflora in focus: a retrospective analysis of skin scraping and ear samples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Due to the increase in number of bacterial skin and ear disease cases and with the expanding antibiotic-resistance, it is important to study the current microbiological status of our companion animals. The data used in this study were microbiological analysis results conducted in a widely acknowledged and standardized procedure by DuoBakt Microbiological Lab (DBML) of the skin scraping and ear samples of the patients treated between January 1, 2008 and August 31, 2013 at the dermatology consultation of SZIE-ÁOTK Dept. and Clinic of Internal Medicine. Throughout this research I’ve been using Doki for Vets 8 SQL of the SZIE-ÁOTK KOK, the DuoBakt Microbiological Lab’s own utility, also MySQL 5.5 database management system and Microsoft Excel 7.0 software. </w:t>
      </w:r>
    </w:p>
    <w:p>
      <w:pPr>
        <w:widowControl w:val="on"/>
        <w:pBdr/>
        <w:spacing w:before="240" w:after="240" w:line="240" w:lineRule="auto"/>
        <w:ind w:left="0" w:right="0"/>
        <w:jc w:val="left"/>
      </w:pPr>
      <w:r>
        <w:rPr>
          <w:color w:val="000000"/>
          <w:sz w:val="24"/>
          <w:szCs w:val="24"/>
        </w:rPr>
        <w:t xml:space="preserve">As a basis for this study 769 positive (infected with bacterium and/or yeast) skin scraping and 148 positive ear samples were examined. Out of the pathogens found in these dogs, a significant times Staphylococcus pseudintermedius (S. pseudintermedius) and β-hemolitic Streptococcus (β-haem. Str.) were cultivated, also 7 and 7 times Staphylococcus aureus (S. aureus) and Pseudomonas aeruginosa (P. aeruginosa) was found, respectively. Regarding yeasts, Malassezia pachydermatist (M. pachydermatis) was also found in 9 of these cases. Out of 148 positive dog ear samples in numerous cases S. pseudintermedius, P. aeruginosa and β-haem. Str. was confirmed. Regarding yeast, M.pachydermatis was detected in many ear samples.</w:t>
      </w:r>
    </w:p>
    <w:p>
      <w:pPr>
        <w:widowControl w:val="on"/>
        <w:pBdr/>
        <w:spacing w:before="240" w:after="240" w:line="240" w:lineRule="auto"/>
        <w:ind w:left="0" w:right="0"/>
        <w:jc w:val="left"/>
      </w:pPr>
      <w:r>
        <w:rPr>
          <w:color w:val="000000"/>
          <w:sz w:val="24"/>
          <w:szCs w:val="24"/>
        </w:rPr>
        <w:t xml:space="preserve">The antimicrobial susceptibility of the samples was also included in this study. The S. pseudintermedius bacteria which is the most common cause of dog skin inflammation has shown susceptibility to the amoxicillin-clavulanic acid antibiotic 95,9% of the times, while the percentage of clindamycin resistance was 29,2%. Referring to ear samples: S. pseudintermedius was 97,5% susceptible to amoxicillin-clavulanic acid but it has shown to be 24,7% resistant to clindamycin and 24,7% to gentamycin antibiotics. The collected data was also examined using several other viewpoints and the results can be read in this paper.</w:t>
      </w:r>
    </w:p>
    <w:p>
      <w:pPr>
        <w:widowControl w:val="on"/>
        <w:pBdr/>
        <w:spacing w:before="240" w:after="240" w:line="240" w:lineRule="auto"/>
        <w:ind w:left="0" w:right="0"/>
        <w:jc w:val="left"/>
      </w:pPr>
      <w:r>
        <w:rPr>
          <w:color w:val="000000"/>
          <w:sz w:val="24"/>
          <w:szCs w:val="24"/>
        </w:rPr>
        <w:t xml:space="preserve">In conclusion, our results along with the international literature unanimously emphasize the importance in constantly monitoring the bacteria with microbial analysis in order to provide a more effective and professional treatment that will hold back the spreading of multi-resistant strains. This stands in contrast to the old-fashioned, but still widely used empirical therapies.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70051">
    <w:multiLevelType w:val="hybridMultilevel"/>
    <w:lvl w:ilvl="0" w:tplc="218957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70051">
    <w:abstractNumId w:val="573700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93983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