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LAURA</w:t>
            </w:r>
          </w:p>
          <w:p w:rsidR="00C275A3" w:rsidRDefault="00A96AEC" w:rsidP="00C275A3">
            <w:pPr>
              <w:pStyle w:val="Hallgatokepzes"/>
            </w:pPr>
            <w:r>
              <w:t> Infrastruktúra-építőmérnök mesterszak (MSc)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Buzás Kálmán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Mozgó csapadékfront hatása a csapadékcsatorna hálózaton lefutó árhullámokra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csapadékmozgás jelentős mértékben befolyásol/hat/ja az egyesített rendszerű és a csapadékcsatorna-hálózatok működését, a levonuló árhullámokat. A tradicionális tervezési módszerekben a csapadék mozgásának figyelmen kívül hagyása csökkenti a szimulációs eredmények pontosságát.</w:t>
      </w:r>
      <w:r>
        <w:rPr>
          <w:color w:val="000000"/>
          <w:sz w:val="24"/>
          <w:szCs w:val="24"/>
        </w:rPr>
        <w:br/>
        <w:t xml:space="preserve">A vizsgálat első részét egy fiktív városi vízgyűjtő területen és a hozzátartozó egyesített rendszerű csatornahálózaton végeztük el. A szimulációkat az SWMM 5.0 szoftverrel, a csapadék események mozgási irányának és sebességének változtatásával hajtottuk végre. Három modellcsapadékot mozgattunk a vízgyűjtő terület felett három különböző sebességgel, hat különböző irányba. Ennek a módszernek az eredményeit hasonlítottuk össze az álló csapadékkal végzett szimulációk eredményeivel, a hálózat kifolyási pont előtti csatornaszakaszán. Megállapítható, hogy a csapadékmozgás a választott vízgyűjtőn, illetve annak csatornahálózatában jelentős hatást gyakorol a csatornahálózatban levonuló árhullámokra. A mozgás irányától függően az álló csapadékhoz képest nagyobb, illetve kisebb maximális vízhozamok jöttek létre. Kimutatható, hogy a front mozgási pályái közül a végponti árhullám-csúcsra a hálózat fő lefolyási tengelyével párhuzamos pályán mozgó csapadéknak van a legnagyobb hatása. A hatás növekszik a csapadék időtartamának és a front mozgási sebességének csökkenésével, illetve az intenzitás növekedésével. Ha pedig az ilyen pályán a front mozgási sebessége harmonizál a hálózati lefolyás átlagos sebességével, az árhullám-csúcs megváltozásának szélső értékeihez jutunk. A hálózati lefolyás és a csapadékmozgás irányának azonossága esetén a legnagyobb növekedés, míg az ellentétes iránynál a legnagyobb csökkenés állt elő. Továbbá feltételeztük, hogy a hatások számszerű mértékében a vízgyűjtő méretének és alakjának is szerepe lehet. Ezért a vizsgálat második részében azonos területű és egyéb paraméterű, de különböző, egyszerűsített alakkal rendelkező vízgyűjtőkön végeztünk vizsgálatokat. Vízgyűjtő alakonként hasonló, de nagyságrendjében eltérő jelenségeket figyeltünk meg.</w:t>
      </w:r>
      <w:r>
        <w:rPr>
          <w:color w:val="000000"/>
          <w:sz w:val="24"/>
          <w:szCs w:val="24"/>
        </w:rPr>
        <w:br/>
        <w:t xml:space="preserve">Megállapítható tehát, hogy a hagyományos tervezési módszerekben a csapadékmozgás folyamatának figyelmen kívül hagyása az árhullám-csúcsok alul-, illetve felülbecsléshez vezethet, amely a csatornahálózatokban kapacitásproblémákat okozhat. Felléphetnek olyan csapadék események, amelyek előidézhetik a csatornahálózat túlterhelését, kiöntését.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692026">
    <w:multiLevelType w:val="hybridMultilevel"/>
    <w:lvl w:ilvl="0" w:tplc="15854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692026">
    <w:abstractNumId w:val="466920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99256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