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VARGA</w:t>
            </w:r>
          </w:p>
          <w:p w:rsidR="00C275A3" w:rsidRDefault="00A96AEC" w:rsidP="00C275A3">
            <w:pPr>
              <w:pStyle w:val="Hallgatokepzes"/>
            </w:pPr>
            <w:r>
              <w:t>MSc in Infrastructural Engineering</w:t>
            </w:r>
            <w:r>
              <w:br/>
            </w:r>
            <w:r w:rsidR="00E77B23">
              <w:t>MSc, 1.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Kálmán Buzás</w:t>
            </w:r>
          </w:p>
          <w:p w:rsidR="00DB4822" w:rsidRDefault="00DB4822" w:rsidP="009763E0">
            <w:pPr>
              <w:pStyle w:val="Konzulensektitulus"/>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storm movement on hydrographs emerging in the storm sewage networks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movement of cloud mass has/can have a great impact on functioning of combined and storm sewage networks. Most design methods assume that the time of the occurence of precipitation is the same in all subbasins. However, ignoring storm movement decreases the accuracy of simulation results.</w:t>
      </w:r>
      <w:r>
        <w:rPr>
          <w:color w:val="000000"/>
          <w:sz w:val="24"/>
          <w:szCs w:val="24"/>
        </w:rPr>
        <w:br/>
        <w:t xml:space="preserve">The effect of storm movement was studied at a fictitious urban catchment and in its combined sewer system. Using SWMM 5.0 software, simulations were made by varying the direction and speed of rainfall events. Three model storms were moved above the watershed with three different velocities in six directions. The results of this method, using wind data, were compared with the findings related to stationary storms. Storm movement had an essential effect on hydrographs emerging in the combined sewerage network. Moving rainfalls induced higher and lower peak discharges than stationary storms, depending on wind direction. Highest peak discharges occured when the storm was moving over the catchment in the same same direction as the main flow direction on the catcment and in the combined sewer system. When the wind direction was the same as before mentioned and the moving speed also harmonised with system’s mean-flow velocity, resulted the highest changes of peak discharges. The biggest increase was observed when the system’s and storm’s direction of movement were the same, and the biggest decrease when they were reverse. The effect of the direction and speed of wind on runoff volume was negligible. In addition, it was assumed that in the numerical extent of the impacts catchment size and shape may also play a role. Therefore, in the second part of the study, catchments with same area and with other parameters, but with different and simplified shapes were investigated. As for the shape the same phenomena yet different extent was observed on all catchments.</w:t>
      </w:r>
      <w:r>
        <w:rPr>
          <w:color w:val="000000"/>
          <w:sz w:val="24"/>
          <w:szCs w:val="24"/>
        </w:rPr>
        <w:br/>
        <w:t xml:space="preserve">Results showed that traditional design methods ignoring storm movement can lead to over- and under-estimation of peak discharges, which can cause capacity problems in sewage networks. Storm events can occur which overload and flood the sewer system. Apart from causing property damages combined sewer systems waste water flooding may also become a source of health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82050">
    <w:multiLevelType w:val="hybridMultilevel"/>
    <w:lvl w:ilvl="0" w:tplc="58037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82050">
    <w:abstractNumId w:val="34082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7629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