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FLEIT GÁBOR</w:t>
            </w:r>
          </w:p>
          <w:p w:rsidR="00C275A3" w:rsidRDefault="00A96AEC" w:rsidP="00C275A3">
            <w:pPr>
              <w:pStyle w:val="Hallgatokepzes"/>
            </w:pPr>
            <w:r>
              <w:t>Építőmérnök</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Baranya Sándor</w:t>
            </w:r>
          </w:p>
          <w:p w:rsidR="00DB4822" w:rsidRDefault="00DB4822" w:rsidP="009763E0">
            <w:pPr>
              <w:pStyle w:val="Konzulensektitulus"/>
            </w:pPr>
            <w:r w:rsidRPr="00DB4822">
              <w:t>egyetemi docens, BME ÉMK</w:t>
            </w:r>
          </w:p>
        </w:tc>
      </w:tr>
      <w:tr w:rsidR="00DB4822" w:rsidTr="00DB4822">
        <w:tc>
          <w:tcPr>
            <w:tcW w:w="9854" w:type="dxa"/>
          </w:tcPr>
          <w:p w:rsidR="00DB4822" w:rsidRPr="00DB4822" w:rsidRDefault="00DB4822" w:rsidP="009763E0">
            <w:pPr>
              <w:pStyle w:val="Konzulenseknev"/>
            </w:pPr>
            <w:r w:rsidRPr="00DB4822">
              <w:t>Dr. Józsa János</w:t>
            </w:r>
          </w:p>
          <w:p w:rsidR="00DB4822" w:rsidRDefault="00DB4822" w:rsidP="009763E0">
            <w:pPr>
              <w:pStyle w:val="Konzulensektitulus"/>
            </w:pPr>
            <w:r w:rsidRPr="00DB4822">
              <w:t>egyetemi tanár, BME ÉMK</w:t>
            </w:r>
          </w:p>
        </w:tc>
      </w:tr>
      <w:tr w:rsidR="00DB4822" w:rsidTr="00DB4822">
        <w:tc>
          <w:tcPr>
            <w:tcW w:w="9854" w:type="dxa"/>
          </w:tcPr>
          <w:p w:rsidR="00DB4822" w:rsidRPr="00DB4822" w:rsidRDefault="00DB4822" w:rsidP="009763E0">
            <w:pPr>
              <w:pStyle w:val="Konzulenseknev"/>
            </w:pPr>
            <w:r w:rsidRPr="00DB4822">
              <w:t>Török Gergely Tihamér</w:t>
            </w:r>
          </w:p>
          <w:p w:rsidR="00DB4822" w:rsidRDefault="00DB4822" w:rsidP="009763E0">
            <w:pPr>
              <w:pStyle w:val="Konzulensektitulus"/>
            </w:pPr>
            <w:r w:rsidRPr="00DB4822">
              <w:t>doktorandusz,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Élőhely szempontú folyószabályozás megalapozása korszerű hidromorfológiai adatelemzéssel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évtizedekben komoly változásokon mentek át a vízépítési létesítményekkel szemben támasztott elvárások, legfőképp a természetes vízi élőhelyek figyelembe vétele vált szükségessé, elvárttá. A klasszikus folyószabályozási művek hosszú ideig figyelmen kívül hagyták ezeket a szempontokat, így azok gyakran negatív hatással voltak az ott korábban kialakult természetes ökoszisztémára. Külföldi példák azt mutatják, hogy ilyen jellegű emberi beavatkozással érintett szakaszok revitalizációja tudományosan megalapozott módszerekkel lehetséges, azonban ezen eljárások komplex vízmérnöki, ökológiai és természetvédelmi szemléletet igényelnek.</w:t>
      </w:r>
      <w:r>
        <w:rPr>
          <w:color w:val="000000"/>
          <w:sz w:val="24"/>
          <w:szCs w:val="24"/>
        </w:rPr>
        <w:br/>
        <w:t xml:space="preserve">TDK dolgozatom célja az ilyen jellegű, revitalizációhoz kapcsolódó tervezési feladatok egyik fontos eszközének, az élőhely modelleknek megismerése, továbbá egészen az adatgyűjtéstől kezdve, kísérlet tétele egy ilyen modell felépítésére egy konkrét hazai területre. A vizsgált Duna szakasz az 1672-1676 fkm között helyezkedik el, Sződliget térségében. Első lépésben a térségben végrehajtott terepi méréseket ismertetem az alkalmazott mérési eszközökkel. Itt elsősorban az ADCP műszer működési elvével és használatával foglalkozom, majd később a mérés során kapott nyersadatok feldolgozási módszerei kerülnek bemutatásra. Következőként a mérési adatok alapján elkészített digitális terepmodell és a szakaszra jellemző hidrodinamikai és hidromorfológiai jellemzőket (sebesség, fenékcsúsztató sebesség, mederanyag) tartalmazó mezők kerülnek prezentálásra és értelmezésre a tanulságok levonásával párhuzamosan. A három különböző vizsgált vízállapotnak köszönhetően, az elkészített mezők összehasonlítása is lehetséges volt, melyek tovább bővítették a térség áramlási jellegével kapcsolatos ismereteinket. A dolgozat következő részében külföldi és hazai vizsgálatokra épülő élőhely modelleket vizsgálok meg, azok alkalmazhatóságának feltételeivel együtt. Ezt követően, a mérési adatok alapján kísérletet teszek a térség élőhely-alkalmassági paraméterekkel való leírására, egy konkrét süllőfajra nézve. A befejezésben a kapott eredmények kiértékelésével foglalkozom, és továbbfejlesztési irányokat fogalmazok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56057">
    <w:multiLevelType w:val="hybridMultilevel"/>
    <w:lvl w:ilvl="0" w:tplc="87698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56057">
    <w:abstractNumId w:val="60956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261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