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BORBÁLA SZÉLES</w:t>
            </w:r>
          </w:p>
          <w:p w:rsidR="00C275A3" w:rsidRDefault="00A96AEC" w:rsidP="00C275A3">
            <w:pPr>
              <w:pStyle w:val="Hallgatokepzes"/>
            </w:pPr>
            <w:r>
              <w:t>Hydraulic Engineer</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Szilágyi</w:t>
            </w:r>
          </w:p>
          <w:p w:rsidR="00DB4822" w:rsidRDefault="00DB4822" w:rsidP="00E11062">
            <w:pPr>
              <w:pStyle w:val="Konzulensek"/>
            </w:pPr>
            <w:r w:rsidRPr="00DB4822">
              <w:t>professor, BME ÉMK</w:t>
            </w:r>
          </w:p>
        </w:tc>
      </w:tr>
      <w:tr w:rsidR="00DB4822" w:rsidTr="00DB4822">
        <w:tc>
          <w:tcPr>
            <w:tcW w:w="9854" w:type="dxa"/>
          </w:tcPr>
          <w:p w:rsidR="00DB4822" w:rsidRPr="00DB4822" w:rsidRDefault="00DB4822" w:rsidP="004D7940">
            <w:pPr>
              <w:pStyle w:val="Konzulensek"/>
            </w:pPr>
            <w:r w:rsidRPr="00DB4822">
              <w:t>Péter Torma</w:t>
            </w:r>
          </w:p>
          <w:p w:rsidR="00DB4822" w:rsidRDefault="00DB4822" w:rsidP="00E11062">
            <w:pPr>
              <w:pStyle w:val="Konzulensek"/>
            </w:pPr>
            <w:r w:rsidRPr="00DB4822">
              <w:t>professor's assistant, BME ÉMK</w:t>
            </w:r>
          </w:p>
        </w:tc>
      </w:tr>
      <w:tr w:rsidR="00DB4822" w:rsidTr="00DB4822">
        <w:tc>
          <w:tcPr>
            <w:tcW w:w="9854" w:type="dxa"/>
          </w:tcPr>
          <w:p w:rsidR="00DB4822" w:rsidRPr="00DB4822" w:rsidRDefault="00DB4822" w:rsidP="004D7940">
            <w:pPr>
              <w:pStyle w:val="Konzulensek"/>
            </w:pPr>
            <w:r w:rsidRPr="00DB4822">
              <w:t>Dr. Géza Hajnal</w:t>
            </w:r>
          </w:p>
          <w:p w:rsidR="00DB4822" w:rsidRDefault="00DB4822" w:rsidP="00E11062">
            <w:pPr>
              <w:pStyle w:val="Konzulensek"/>
            </w:pPr>
            <w:r w:rsidRPr="00DB4822">
              <w:t>associate 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Adaptation of the Discrete Linear Cascade Model to rainfall-runoff modelling on digital elevation models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present study simulates overland flow on digital elevation models for the determination of discharge volumes in arbitrary cross-sections of the draining stream by adopting the Discrete Linear Cascade Model (DLCM). The model is parameterized with information extracted from the digital elevation model – such as divergence of morphology, length of flow path and deviation of gradient along flow path.</w:t>
      </w:r>
      <w:r>
        <w:rPr>
          <w:color w:val="000000"/>
          <w:sz w:val="24"/>
          <w:szCs w:val="24"/>
        </w:rPr>
        <w:br/>
        <w:t xml:space="preserve">The calculated unit-pulse response function for each path is convoluted with measured rainfall and implemented on the digital elevation model of Bükkös Creek. Spatially distributed precipitation data can also be employed in this modelling approach provided such data exist.</w:t>
      </w:r>
      <w:r>
        <w:rPr>
          <w:color w:val="000000"/>
          <w:sz w:val="24"/>
          <w:szCs w:val="24"/>
        </w:rPr>
        <w:br/>
        <w:t xml:space="preserve">While the traditional topographical unit hydrograph obtained from a time-area curve also takes into consideration the relief of the terrain, it does not account for diffusion along the paths. The present method could be also extended to other analyses, e.g. detecting the spread and dispersion of diffuse or point-wise pollution along the catchment, identifying critical places for pollution within the watershed. The method can be applied on any watershed with the proper digital elevation model.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883704">
    <w:multiLevelType w:val="hybridMultilevel"/>
    <w:lvl w:ilvl="0" w:tplc="246853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883704">
    <w:abstractNumId w:val="258837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72644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