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CONSTANTINESCU KRISZTINA</w:t>
            </w:r>
          </w:p>
          <w:p w:rsidR="00C275A3" w:rsidRDefault="00A96AEC" w:rsidP="00C275A3">
            <w:pPr>
              <w:pStyle w:val="Hallgatokepzes"/>
            </w:pPr>
            <w:r>
              <w:t>Jog</w:t>
            </w:r>
            <w:r>
              <w:br/>
            </w:r>
            <w:r w:rsidR="00E77B23">
              <w:t>BSc, 4. félév</w:t>
            </w:r>
          </w:p>
          <w:p w:rsidR="00C265CE" w:rsidRPr="009E5FF1" w:rsidRDefault="00E77B23" w:rsidP="009763E0">
            <w:pPr>
              <w:pStyle w:val="Hallgatointezmeny-kar"/>
              <w:rPr>
                <w:b/>
                <w:caps/>
              </w:rPr>
            </w:pPr>
            <w:r>
              <w:t>Sapientia Erdélyi Magyar Tudományegyetem</w:t>
            </w:r>
            <w:r w:rsidR="00C275A3">
              <w:br/>
            </w:r>
            <w:r w:rsidR="00DB4822">
              <w:t>Természettudományi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Sztranyiczki Szilárd</w:t>
            </w:r>
          </w:p>
          <w:p w:rsidR="00DB4822" w:rsidRDefault="00DB4822" w:rsidP="009763E0">
            <w:pPr>
              <w:pStyle w:val="Konzulensektitulus"/>
            </w:pPr>
            <w:r w:rsidRPr="00DB4822">
              <w:t>egyetemi adjunktus, ETDK RHK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állatok jogi státusza és jogalanyiságának kérdésköre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állatok jogalanyisága a mai napig vitatott téma, e tekintetben több vélemény létezik, az egyik álláspont szerint az állatokat továbbra is dolgoknak kell tekinteni mivel nincs morális érzékük, nem tudnak társadalmi szerződésbe lépni, irracionálisak és nem tudnak beszélni. Egy másik nézőpont szerint „lelkes” dolgoknak kell tekinteni, ezen hasznossági elv elítéli az állatkínzást, mivel nekik is vannak érzéseik, de továbbra is fenntartják, hogy egyes állatokat táplálkozás céljából és a bundájukért kell tartani. A harmadik tábor álláspontja, hogy az állatokat is jogalanyként kell kezelni, mivel az állatok korlátolt értelmi képességgel rendelkező lények, akárcsak az újszülöttek vagy az értelmi fogyatékos személyek, így ugyan olyan jogok illetik meg őket is. Célom, hogy jogi szemszögből vizsgáljam meg a témát, feltárva ennek történeti fejlődési irányvonalait, bemutatva a jelenlegi román törvénykezés hozzáállását és azt nemzetközi szabályozásokkal összehasonlítani.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37929">
    <w:multiLevelType w:val="hybridMultilevel"/>
    <w:lvl w:ilvl="0" w:tplc="86870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37929">
    <w:abstractNumId w:val="14437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898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