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FERENCZ</w:t>
            </w:r>
          </w:p>
          <w:p w:rsidR="00C275A3" w:rsidRDefault="00A96AEC" w:rsidP="00C275A3">
            <w:pPr>
              <w:pStyle w:val="Hallgatokepzes"/>
            </w:pPr>
            <w:r>
              <w:t>Terrestrial and Aquatic Ecology</w:t>
            </w:r>
            <w:r>
              <w:br/>
            </w:r>
            <w:r w:rsidR="00E77B23">
              <w:t>MSc, 4. semester</w:t>
            </w:r>
          </w:p>
          <w:p w:rsidR="00C265CE" w:rsidRPr="009E5FF1" w:rsidRDefault="00E77B23" w:rsidP="009763E0">
            <w:pPr>
              <w:pStyle w:val="Hallgatointezmeny-kar"/>
              <w:rPr>
                <w:b/>
                <w:caps/>
              </w:rPr>
            </w:pPr>
            <w:r>
              <w:t>Babeș-Bolyai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Bálint Markó, Ph.D.</w:t>
            </w:r>
          </w:p>
          <w:p w:rsidR="00DB4822" w:rsidRDefault="00DB4822" w:rsidP="009763E0">
            <w:pPr>
              <w:pStyle w:val="Konzulensektitulus"/>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Population structure of a protected species, Maculinea alcon ’xerophila’ (Lepidoptera: Lycaenidae) in Rimetea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Maculinea species, the obligate social parasites of Myrmica ant colonies, are one of the most intensively studied group of Palearctic butterflies. During their development they need particular food plants and host ant species. In the last few decades all Maculinea species have experienced severe declines over most of their ranges due to intensive agriculture and fragmentation of their habitats. Our aim was to study a Transylvanian population of Maculinea alcon ‘xerophila’ by mark-recapture method. The results show a relatively short flight period between mid June and mid July with clearly marked early peak period. The total population of M. alcon ‘xerophila’ was estimated to be of 505 individuals based on the MRR results. Unlike in many other butterflies protandry is not strong: the number of females peaked only three days later than males. The survival rate was relatively low. Substantial emigration could also be taken into account. Based on these results we consider the studied population as fairly viable.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454378">
    <w:multiLevelType w:val="hybridMultilevel"/>
    <w:lvl w:ilvl="0" w:tplc="32434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454378">
    <w:abstractNumId w:val="84454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0096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