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TÖRÖK</w:t>
            </w:r>
          </w:p>
          <w:p w:rsidR="00C275A3" w:rsidRDefault="00A96AEC" w:rsidP="00C275A3">
            <w:pPr>
              <w:pStyle w:val="Hallgatokepzes"/>
            </w:pPr>
            <w:r>
              <w:t>Use and Protection of Biological Resources</w:t>
            </w:r>
            <w:r>
              <w:br/>
            </w:r>
            <w:r w:rsidR="00E77B23">
              <w:t>MSc, 2. semester</w:t>
            </w:r>
          </w:p>
          <w:p w:rsidR="00C265CE" w:rsidRPr="009E5FF1" w:rsidRDefault="00E77B23" w:rsidP="009763E0">
            <w:pPr>
              <w:pStyle w:val="Hallgatointezmeny-kar"/>
              <w:rPr>
                <w:b/>
                <w:caps/>
              </w:rPr>
            </w:pPr>
            <w:r>
              <w:t>Babes Bolyai University</w:t>
            </w:r>
            <w:r w:rsidR="00C275A3">
              <w:br/>
            </w:r>
            <w:r w:rsidR="00DB4822">
              <w:t>Biology and Geology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Lujza Keresztes </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wings variability in the case of phantom crane flies (Ptychopteridae) members of the Romanian fauna: a taxonomic perspective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natural biodiversity crisis opens new perspectives in the field of faunistic and taxonomic researches. Nevertheless, many research groups are consequently neglected, between others aquatic insects like phantom crane flies (Diptera, Ptychopteridae). In the present study a comparative morphological analyses using linear and geometric morphometry were applied to detect geographically divergent structures already suggested by divergent genital structures. Using geometric morphomety in the case of selected wings characters we demonstrated their suitability for taxonomic analyses, being a useful method to separating Ptychopteridae at species level. However linear morphometry has no good resolution at species level. We applied for the first time geometric morphometry methods in the case of phantom crane flies and we demonstrated its suitability as non-invasive taxonomic methods for species identification in the field of conservation biology, especially in the case of rare or endangered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36153">
    <w:multiLevelType w:val="hybridMultilevel"/>
    <w:lvl w:ilvl="0" w:tplc="75011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36153">
    <w:abstractNumId w:val="12736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661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