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ADAM BALAZS-OLDAL</w:t>
            </w:r>
          </w:p>
          <w:p w:rsidR="00C275A3" w:rsidRDefault="00A96AEC" w:rsidP="00C275A3">
            <w:pPr>
              <w:pStyle w:val="Hallgatokepzes"/>
            </w:pPr>
            <w:r>
              <w:t>philosophy</w:t>
            </w:r>
            <w:r>
              <w:br/>
            </w:r>
            <w:r w:rsidR="00E77B23">
              <w:t>BSc, 6.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Babes-Bolyai University</w:t>
            </w:r>
            <w:r w:rsidR="00C275A3">
              <w:br/>
            </w:r>
            <w:r w:rsidR="00DB4822">
              <w:t>History and philosophy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Attila Szigeti</w:t>
            </w:r>
          </w:p>
          <w:p w:rsidR="00DB4822" w:rsidRDefault="00DB4822" w:rsidP="009763E0">
            <w:pPr>
              <w:pStyle w:val="Konzulensektitulus"/>
            </w:pPr>
            <w:r w:rsidRPr="00DB4822">
              <w:t>assistant professor,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About a radical phenomenology of music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this paper I argue against the thesis put forward by Ruud Welten in his essay What do we hear when we hear music? A radical phenomenology of music according to which listening to music is actually listening to the pulsations of our inner affections. Welten considers that music cannot be conceived of as a mere audible object (i.e. an object belonging to the outside world), nor be adequately grasped or approached through intentionality. He bases his thesis on the non-intentional phenomenology of the French philosopher Michel Henry, whose concept of the self-affecting Life seems to be highly applicable to music, too. Following Henry’s lead, Welten’s aim in his essay is to restore the metaphysical status of music once advocated by Schopenhauer. I try to counter this aim by refl ecting on the impossibility of thoroughly eliminating either the outside world, or the intentionality from the sphere of music.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121279">
    <w:multiLevelType w:val="hybridMultilevel"/>
    <w:lvl w:ilvl="0" w:tplc="362838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121279">
    <w:abstractNumId w:val="691212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20869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