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CSABA-ATTILA BOTH</w:t>
            </w:r>
          </w:p>
          <w:p w:rsidR="00C275A3" w:rsidRDefault="00A96AEC" w:rsidP="00C275A3">
            <w:pPr>
              <w:pStyle w:val="Hallgatokepzes"/>
            </w:pPr>
            <w:r>
              <w:t>Translator and Interpreter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Technical and Human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Noémi Gál, Ph.D.</w:t>
            </w:r>
          </w:p>
          <w:p w:rsidR="00DB4822" w:rsidRDefault="00DB4822" w:rsidP="00E11062">
            <w:pPr>
              <w:pStyle w:val="Konzulensek"/>
            </w:pPr>
            <w:r w:rsidRPr="00DB4822">
              <w:t>lecturer,  Sapientia Hungarian University of Transilvania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Diachronic analysis of some dialectological aspects from Háromszék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study is to map (first on a smaller area, in the case of 4 villages: Bölön, Sepsikőröspatak, Dálnok and Zágon) the dialectal particularities in the dialect of Háromszék fifty-sixty years ago, when the database of the Atlas of Hungarian Dialects in Romania (AHDR) was collected, and the processing of the data and the results of a new collection undertaken in 2013 in the abovementioned villages. Another aim of the study is to explore the differences between the result of the two collections on the phonetic-phonological and on the lexical level.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33736">
    <w:multiLevelType w:val="hybridMultilevel"/>
    <w:lvl w:ilvl="0" w:tplc="97616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33736">
    <w:abstractNumId w:val="13133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920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