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KEREK</w:t>
            </w:r>
          </w:p>
          <w:p w:rsidR="00C275A3" w:rsidRDefault="00A96AEC" w:rsidP="00C275A3">
            <w:pPr>
              <w:pStyle w:val="Hallgatokepzes"/>
            </w:pPr>
            <w:r>
              <w:t>Horticultural Engineering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Slezák PhD</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Kitti Ugróczi-Nagy</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nutritional value of spice pepper powders’ influential factors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work, the aim was to study the technological factors – growing technology’s intensity, choosing the right variety, planting space, the usage of pruning and training, harvest’s date and the number of harvests – effect to the powder’s quality, mainly to improve the two new growing technologies. My other goal was to determine the optimal length of the post-harvest ripening time and specify the effects of the heat treatment before grinding and two storage ways (room temperature or cold storage). To achieve these, I examined pigment-, and sugar content of the powders, and I had sensory analysis done with the powders.</w:t>
      </w:r>
      <w:r>
        <w:rPr>
          <w:color w:val="000000"/>
          <w:sz w:val="24"/>
          <w:szCs w:val="24"/>
        </w:rPr>
        <w:br/>
        <w:t xml:space="preserve">According to my sightings, the planting space (between 4,5-6 plant/m2) and the usage of pruning and training (trained plants with cordon and did not prune, or trained plants with string and soft pruning with keeping two stems) have no significant effects, but the other studied factors notably influence the products’ quality. Considering the intensity of growing technology, I can say that outdoor cropping with foil-, mulching and tunnel and forcing result in low pigment content. Studying the sensory analysis’s results, the smell in more intensive technologies’ powder can be soft. Choosing the right variety is more important factor in the quality, than the technology changes (conventional growing or intensive forcing). The varieties with high pigment content put up a good show in both technology changes. The varieties bred for forcing are also able to grow in the open. Examining the first harvest’s date and the total number of harvests I can determine that ‘Délibáb’ variety’s fresh pericarp has low ASTA value at the end of July in forcing. If we do not plan to sell the fruits separately, it is worthy to harvest two or three times towards good quality, but if we make allowance of the amount of the powder we should harvest three times.</w:t>
      </w:r>
      <w:r>
        <w:rPr>
          <w:color w:val="000000"/>
          <w:sz w:val="24"/>
          <w:szCs w:val="24"/>
        </w:rPr>
        <w:br/>
        <w:t xml:space="preserve">Based on my trials (5 varieties after ripened 6 weeks in hanging Raschel bags in dry well aerated loft), it is recommended to after ripen the fruits for 4 to 5 weeks. If we treat the dry fruits above 70 ˚C, the powder’s quality fails fast. After 6 month storing, at lowest temperature (40 ˚C) treated samples had the highest ASTA value. Cold storage is more favorable like in the literature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92218">
    <w:multiLevelType w:val="hybridMultilevel"/>
    <w:lvl w:ilvl="0" w:tplc="79887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92218">
    <w:abstractNumId w:val="67592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030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